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1D" w:rsidRPr="0082581D" w:rsidRDefault="0082581D" w:rsidP="0082581D">
      <w:pPr>
        <w:widowControl/>
        <w:spacing w:line="640" w:lineRule="atLeast"/>
        <w:jc w:val="center"/>
        <w:rPr>
          <w:rFonts w:ascii="宋体" w:eastAsia="宋体" w:hAnsi="宋体" w:cs="宋体"/>
          <w:color w:val="000000"/>
          <w:spacing w:val="-6"/>
          <w:kern w:val="0"/>
          <w:sz w:val="32"/>
          <w:szCs w:val="32"/>
        </w:rPr>
      </w:pPr>
      <w:r w:rsidRPr="0082581D">
        <w:rPr>
          <w:rFonts w:ascii="宋体" w:eastAsia="宋体" w:hAnsi="宋体" w:cs="宋体" w:hint="eastAsia"/>
          <w:color w:val="000000"/>
          <w:spacing w:val="-6"/>
          <w:kern w:val="0"/>
          <w:sz w:val="32"/>
          <w:szCs w:val="32"/>
        </w:rPr>
        <w:t>福大财〔2017〕24号</w:t>
      </w:r>
    </w:p>
    <w:p w:rsidR="0082581D" w:rsidRPr="0082581D" w:rsidRDefault="0082581D" w:rsidP="0082581D">
      <w:pPr>
        <w:widowControl/>
        <w:spacing w:line="640" w:lineRule="atLeast"/>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各学院，机关各部门、各单位：</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根据《福建省财政厅关于印发，&lt;福建省省直机关差旅费管理办法有关问题的解答（二）&gt;的通知》（闽财行〔2017〕15号），现对我校《福州大学国（境）内差旅费管理暂行办法》（福大财〔2016〕27号）进行补充修订，经2017年第16次校长办公会议讨论通过，现予以印发执行</w:t>
      </w:r>
      <w:r w:rsidRPr="0082581D">
        <w:rPr>
          <w:rFonts w:ascii="宋体" w:eastAsia="宋体" w:hAnsi="宋体" w:cs="宋体" w:hint="eastAsia"/>
          <w:color w:val="000000"/>
          <w:spacing w:val="-4"/>
          <w:kern w:val="0"/>
          <w:sz w:val="32"/>
          <w:szCs w:val="32"/>
        </w:rPr>
        <w:t>。</w:t>
      </w:r>
    </w:p>
    <w:p w:rsidR="0082581D" w:rsidRPr="0082581D" w:rsidRDefault="0082581D" w:rsidP="0082581D">
      <w:pPr>
        <w:widowControl/>
        <w:spacing w:line="640" w:lineRule="atLeast"/>
        <w:ind w:firstLine="624"/>
        <w:jc w:val="left"/>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ind w:firstLine="624"/>
        <w:jc w:val="left"/>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ind w:firstLine="5460"/>
        <w:jc w:val="right"/>
        <w:rPr>
          <w:rFonts w:ascii="宋体" w:eastAsia="宋体" w:hAnsi="宋体" w:cs="宋体" w:hint="eastAsia"/>
          <w:color w:val="000000"/>
          <w:kern w:val="0"/>
          <w:sz w:val="20"/>
          <w:szCs w:val="20"/>
        </w:rPr>
      </w:pPr>
      <w:r w:rsidRPr="0082581D">
        <w:rPr>
          <w:rFonts w:ascii="宋体" w:eastAsia="宋体" w:hAnsi="宋体" w:cs="宋体" w:hint="eastAsia"/>
          <w:color w:val="000000"/>
          <w:spacing w:val="-4"/>
          <w:kern w:val="0"/>
          <w:sz w:val="32"/>
          <w:szCs w:val="32"/>
        </w:rPr>
        <w:t>福 州 大 学</w:t>
      </w:r>
    </w:p>
    <w:p w:rsidR="0082581D" w:rsidRPr="0082581D" w:rsidRDefault="0082581D" w:rsidP="0082581D">
      <w:pPr>
        <w:widowControl/>
        <w:spacing w:line="640" w:lineRule="atLeast"/>
        <w:ind w:firstLine="5304"/>
        <w:jc w:val="right"/>
        <w:rPr>
          <w:rFonts w:ascii="宋体" w:eastAsia="宋体" w:hAnsi="宋体" w:cs="宋体" w:hint="eastAsia"/>
          <w:color w:val="000000"/>
          <w:kern w:val="0"/>
          <w:sz w:val="20"/>
          <w:szCs w:val="20"/>
        </w:rPr>
      </w:pPr>
      <w:r w:rsidRPr="0082581D">
        <w:rPr>
          <w:rFonts w:ascii="宋体" w:eastAsia="宋体" w:hAnsi="宋体" w:cs="宋体" w:hint="eastAsia"/>
          <w:color w:val="000000"/>
          <w:spacing w:val="-4"/>
          <w:kern w:val="0"/>
          <w:sz w:val="32"/>
          <w:szCs w:val="32"/>
        </w:rPr>
        <w:t>2017年11月7日</w:t>
      </w:r>
    </w:p>
    <w:p w:rsidR="0082581D" w:rsidRPr="0082581D" w:rsidRDefault="0082581D" w:rsidP="0082581D">
      <w:pPr>
        <w:widowControl/>
        <w:jc w:val="left"/>
        <w:rPr>
          <w:rFonts w:ascii="宋体" w:eastAsia="宋体" w:hAnsi="宋体" w:cs="宋体" w:hint="eastAsia"/>
          <w:color w:val="000000"/>
          <w:kern w:val="0"/>
          <w:sz w:val="20"/>
          <w:szCs w:val="20"/>
        </w:rPr>
      </w:pPr>
      <w:r w:rsidRPr="0082581D">
        <w:rPr>
          <w:rFonts w:ascii="宋体" w:eastAsia="宋体" w:hAnsi="宋体" w:cs="宋体" w:hint="eastAsia"/>
          <w:color w:val="000000"/>
          <w:kern w:val="0"/>
          <w:szCs w:val="21"/>
        </w:rPr>
        <w:br w:type="textWrapping" w:clear="all"/>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44"/>
          <w:szCs w:val="44"/>
        </w:rPr>
        <w:t>福州大学国（境）内差旅费管理暂行办法</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第一章 总 则</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第一条</w:t>
      </w:r>
      <w:r w:rsidRPr="0082581D">
        <w:rPr>
          <w:rFonts w:ascii="宋体" w:eastAsia="宋体" w:hAnsi="宋体" w:cs="宋体" w:hint="eastAsia"/>
          <w:color w:val="000000"/>
          <w:spacing w:val="-6"/>
          <w:kern w:val="0"/>
          <w:sz w:val="32"/>
          <w:szCs w:val="32"/>
        </w:rPr>
        <w:t> 根据《福建省财政厅关于印发&lt;福建省省直机关差旅费管理办法有关问题的解答（二）&gt;的通知》（闽财行〔2017〕15号）的精神，特对本办法进行修订。</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第二条</w:t>
      </w:r>
      <w:r w:rsidRPr="0082581D">
        <w:rPr>
          <w:rFonts w:ascii="宋体" w:eastAsia="宋体" w:hAnsi="宋体" w:cs="宋体" w:hint="eastAsia"/>
          <w:color w:val="000000"/>
          <w:spacing w:val="-6"/>
          <w:kern w:val="0"/>
          <w:sz w:val="32"/>
          <w:szCs w:val="32"/>
        </w:rPr>
        <w:t> 差旅费是指工作人员临时到常驻地以外地区公务出差所发生的城市间交通费、住宿费、伙食补助费和市内交通费。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lastRenderedPageBreak/>
        <w:t>第三条</w:t>
      </w:r>
      <w:r w:rsidRPr="0082581D">
        <w:rPr>
          <w:rFonts w:ascii="宋体" w:eastAsia="宋体" w:hAnsi="宋体" w:cs="宋体" w:hint="eastAsia"/>
          <w:color w:val="000000"/>
          <w:spacing w:val="-6"/>
          <w:kern w:val="0"/>
          <w:sz w:val="32"/>
          <w:szCs w:val="32"/>
        </w:rPr>
        <w:t> 各单位应当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学校间无实质内容的学习交流和考察调研。</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第四条</w:t>
      </w:r>
      <w:r w:rsidRPr="0082581D">
        <w:rPr>
          <w:rFonts w:ascii="宋体" w:eastAsia="宋体" w:hAnsi="宋体" w:cs="宋体" w:hint="eastAsia"/>
          <w:color w:val="000000"/>
          <w:spacing w:val="-6"/>
          <w:kern w:val="0"/>
          <w:sz w:val="32"/>
          <w:szCs w:val="32"/>
        </w:rPr>
        <w:t> 出差人是差旅费的直接负责人，对差旅费支出和原始凭证的真实性、合法性、合规性承担直接责任。出差人应了解并遵守有关财经法律法规和本办法规定，据实报销差旅费。</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第二章 城市间交通费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第五条</w:t>
      </w:r>
      <w:r w:rsidRPr="0082581D">
        <w:rPr>
          <w:rFonts w:ascii="宋体" w:eastAsia="宋体" w:hAnsi="宋体" w:cs="宋体" w:hint="eastAsia"/>
          <w:color w:val="000000"/>
          <w:spacing w:val="-6"/>
          <w:kern w:val="0"/>
          <w:sz w:val="32"/>
          <w:szCs w:val="32"/>
        </w:rPr>
        <w:t> 城市间交通费是指工作人员因公到常驻地以外地区出差乘坐火车、轮船、飞机等交通工具所发生的费用。出差人员应当按规定等级乘坐交通工具。乘坐交通工具的等级见下表：</w:t>
      </w:r>
    </w:p>
    <w:tbl>
      <w:tblPr>
        <w:tblW w:w="0" w:type="auto"/>
        <w:jc w:val="center"/>
        <w:tblCellMar>
          <w:left w:w="0" w:type="dxa"/>
          <w:right w:w="0" w:type="dxa"/>
        </w:tblCellMar>
        <w:tblLook w:val="04A0" w:firstRow="1" w:lastRow="0" w:firstColumn="1" w:lastColumn="0" w:noHBand="0" w:noVBand="1"/>
      </w:tblPr>
      <w:tblGrid>
        <w:gridCol w:w="1032"/>
        <w:gridCol w:w="1719"/>
        <w:gridCol w:w="5535"/>
      </w:tblGrid>
      <w:tr w:rsidR="0082581D" w:rsidRPr="0082581D" w:rsidTr="0082581D">
        <w:trPr>
          <w:trHeight w:val="404"/>
          <w:tblHeader/>
          <w:jc w:val="center"/>
        </w:trPr>
        <w:tc>
          <w:tcPr>
            <w:tcW w:w="11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hint="eastAsia"/>
                <w:kern w:val="0"/>
                <w:sz w:val="24"/>
                <w:szCs w:val="24"/>
              </w:rPr>
            </w:pPr>
            <w:r w:rsidRPr="0082581D">
              <w:rPr>
                <w:rFonts w:ascii="宋体" w:eastAsia="宋体" w:hAnsi="宋体" w:cs="宋体"/>
                <w:b/>
                <w:bCs/>
                <w:color w:val="000000"/>
                <w:kern w:val="0"/>
                <w:sz w:val="24"/>
                <w:szCs w:val="24"/>
              </w:rPr>
              <w:t>类别</w:t>
            </w:r>
          </w:p>
        </w:tc>
        <w:tc>
          <w:tcPr>
            <w:tcW w:w="18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职称、职务</w:t>
            </w:r>
          </w:p>
        </w:tc>
        <w:tc>
          <w:tcPr>
            <w:tcW w:w="61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乘坐交通工具等级</w:t>
            </w:r>
          </w:p>
        </w:tc>
      </w:tr>
      <w:tr w:rsidR="0082581D" w:rsidRPr="0082581D" w:rsidTr="0082581D">
        <w:trPr>
          <w:trHeight w:val="786"/>
          <w:jc w:val="center"/>
        </w:trPr>
        <w:tc>
          <w:tcPr>
            <w:tcW w:w="11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一类</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院士</w:t>
            </w:r>
          </w:p>
        </w:tc>
        <w:tc>
          <w:tcPr>
            <w:tcW w:w="6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rPr>
                <w:rFonts w:ascii="宋体" w:eastAsia="宋体" w:hAnsi="宋体" w:cs="宋体"/>
                <w:kern w:val="0"/>
                <w:sz w:val="24"/>
                <w:szCs w:val="24"/>
              </w:rPr>
            </w:pPr>
            <w:r w:rsidRPr="0082581D">
              <w:rPr>
                <w:rFonts w:ascii="宋体" w:eastAsia="宋体" w:hAnsi="宋体" w:cs="宋体"/>
                <w:color w:val="333333"/>
                <w:kern w:val="0"/>
                <w:sz w:val="24"/>
                <w:szCs w:val="24"/>
                <w:shd w:val="clear" w:color="auto" w:fill="FFFFFF"/>
              </w:rPr>
              <w:t>火车软席、高铁/动车商务座、全列软席列车一等软座；轮船一等舱；飞机头等舱，其他交通工具</w:t>
            </w:r>
          </w:p>
        </w:tc>
      </w:tr>
      <w:tr w:rsidR="0082581D" w:rsidRPr="0082581D" w:rsidTr="0082581D">
        <w:trPr>
          <w:trHeight w:val="854"/>
          <w:jc w:val="center"/>
        </w:trPr>
        <w:tc>
          <w:tcPr>
            <w:tcW w:w="11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二类</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厅级或</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正高级职称</w:t>
            </w:r>
          </w:p>
        </w:tc>
        <w:tc>
          <w:tcPr>
            <w:tcW w:w="6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rPr>
                <w:rFonts w:ascii="宋体" w:eastAsia="宋体" w:hAnsi="宋体" w:cs="宋体"/>
                <w:kern w:val="0"/>
                <w:sz w:val="24"/>
                <w:szCs w:val="24"/>
              </w:rPr>
            </w:pPr>
            <w:r w:rsidRPr="0082581D">
              <w:rPr>
                <w:rFonts w:ascii="宋体" w:eastAsia="宋体" w:hAnsi="宋体" w:cs="宋体"/>
                <w:color w:val="333333"/>
                <w:kern w:val="0"/>
                <w:sz w:val="24"/>
                <w:szCs w:val="24"/>
                <w:shd w:val="clear" w:color="auto" w:fill="FFFFFF"/>
              </w:rPr>
              <w:t>火车软席、高铁/动车一等座、全列软席列车一等软座；轮船二等舱；飞机经济舱，其他交通工具</w:t>
            </w:r>
          </w:p>
        </w:tc>
      </w:tr>
      <w:tr w:rsidR="0082581D" w:rsidRPr="0082581D" w:rsidTr="0082581D">
        <w:trPr>
          <w:trHeight w:val="823"/>
          <w:jc w:val="center"/>
        </w:trPr>
        <w:tc>
          <w:tcPr>
            <w:tcW w:w="11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lastRenderedPageBreak/>
              <w:t>三类</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其他人员</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（含学生）</w:t>
            </w:r>
          </w:p>
        </w:tc>
        <w:tc>
          <w:tcPr>
            <w:tcW w:w="6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581D" w:rsidRPr="0082581D" w:rsidRDefault="0082581D" w:rsidP="0082581D">
            <w:pPr>
              <w:widowControl/>
              <w:spacing w:line="640" w:lineRule="atLeast"/>
              <w:rPr>
                <w:rFonts w:ascii="宋体" w:eastAsia="宋体" w:hAnsi="宋体" w:cs="宋体"/>
                <w:kern w:val="0"/>
                <w:sz w:val="24"/>
                <w:szCs w:val="24"/>
              </w:rPr>
            </w:pPr>
            <w:r w:rsidRPr="0082581D">
              <w:rPr>
                <w:rFonts w:ascii="宋体" w:eastAsia="宋体" w:hAnsi="宋体" w:cs="宋体"/>
                <w:color w:val="333333"/>
                <w:kern w:val="0"/>
                <w:sz w:val="24"/>
                <w:szCs w:val="24"/>
                <w:shd w:val="clear" w:color="auto" w:fill="FFFFFF"/>
              </w:rPr>
              <w:t>火车硬席、高铁/动车二等座、全列软席列车二等软座；轮船三等舱；飞机经济舱，其他交通工具</w:t>
            </w:r>
          </w:p>
        </w:tc>
      </w:tr>
    </w:tbl>
    <w:p w:rsidR="0082581D" w:rsidRPr="0082581D" w:rsidRDefault="0082581D" w:rsidP="0082581D">
      <w:pPr>
        <w:widowControl/>
        <w:spacing w:line="640" w:lineRule="atLeast"/>
        <w:ind w:firstLine="616"/>
        <w:jc w:val="left"/>
        <w:rPr>
          <w:rFonts w:ascii="宋体" w:eastAsia="宋体" w:hAnsi="宋体" w:cs="宋体"/>
          <w:color w:val="000000"/>
          <w:kern w:val="0"/>
          <w:sz w:val="20"/>
          <w:szCs w:val="20"/>
        </w:rPr>
      </w:pPr>
      <w:r w:rsidRPr="0082581D">
        <w:rPr>
          <w:rFonts w:ascii="宋体" w:eastAsia="宋体" w:hAnsi="宋体" w:cs="宋体" w:hint="eastAsia"/>
          <w:color w:val="000000"/>
          <w:spacing w:val="-6"/>
          <w:kern w:val="0"/>
          <w:sz w:val="32"/>
          <w:szCs w:val="32"/>
        </w:rPr>
        <w:t>院士出差，因工作需要，随行一人可乘坐同等级交通工具。</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未按规定等级乘坐交通工具的，超支部分由个人自理。</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第六条</w:t>
      </w:r>
      <w:r w:rsidRPr="0082581D">
        <w:rPr>
          <w:rFonts w:ascii="宋体" w:eastAsia="宋体" w:hAnsi="宋体" w:cs="宋体" w:hint="eastAsia"/>
          <w:color w:val="000000"/>
          <w:spacing w:val="-6"/>
          <w:kern w:val="0"/>
          <w:sz w:val="32"/>
          <w:szCs w:val="32"/>
        </w:rPr>
        <w:t> 到出差目的地有多种交通工具可选择时，出差人员在不影响公务、确保安全的前提下，应当选乘经济便捷的交通工具。</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第七条</w:t>
      </w:r>
      <w:r w:rsidRPr="0082581D">
        <w:rPr>
          <w:rFonts w:ascii="宋体" w:eastAsia="宋体" w:hAnsi="宋体" w:cs="宋体" w:hint="eastAsia"/>
          <w:color w:val="000000"/>
          <w:spacing w:val="-6"/>
          <w:kern w:val="0"/>
          <w:sz w:val="32"/>
          <w:szCs w:val="32"/>
        </w:rPr>
        <w:t> 因发生城市间交通费而产生的订票费、签转或退票费、民航发展基金、燃油附加费等相关费用可以凭据报销。</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第八条 </w:t>
      </w:r>
      <w:r w:rsidRPr="0082581D">
        <w:rPr>
          <w:rFonts w:ascii="宋体" w:eastAsia="宋体" w:hAnsi="宋体" w:cs="宋体" w:hint="eastAsia"/>
          <w:color w:val="000000"/>
          <w:spacing w:val="-6"/>
          <w:kern w:val="0"/>
          <w:sz w:val="32"/>
          <w:szCs w:val="32"/>
        </w:rPr>
        <w:t> 乘坐飞机、火车、轮船等交通工具的，每人次可以购买交通意外保险一份。所在单位统一购买交通意外保险的，不再重复购买。</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第三章 住宿费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第九条</w:t>
      </w:r>
      <w:r w:rsidRPr="0082581D">
        <w:rPr>
          <w:rFonts w:ascii="宋体" w:eastAsia="宋体" w:hAnsi="宋体" w:cs="宋体" w:hint="eastAsia"/>
          <w:color w:val="000000"/>
          <w:spacing w:val="-6"/>
          <w:kern w:val="0"/>
          <w:sz w:val="32"/>
          <w:szCs w:val="32"/>
        </w:rPr>
        <w:t> 住宿费是指工作人员因公出差期间入住宾馆（包括饭店、招待所，下同）发生的房租费用。</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第十条</w:t>
      </w:r>
      <w:r w:rsidRPr="0082581D">
        <w:rPr>
          <w:rFonts w:ascii="宋体" w:eastAsia="宋体" w:hAnsi="宋体" w:cs="宋体" w:hint="eastAsia"/>
          <w:color w:val="000000"/>
          <w:spacing w:val="-6"/>
          <w:kern w:val="0"/>
          <w:sz w:val="32"/>
          <w:szCs w:val="32"/>
        </w:rPr>
        <w:t> 住宿费标准参《福建省省直机关工作人员赴全国各地差旅住宿标准明细表》（闽财行〔2016〕9号）文件规定，具体见附件。</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lastRenderedPageBreak/>
        <w:t>第十一条</w:t>
      </w:r>
      <w:r w:rsidRPr="0082581D">
        <w:rPr>
          <w:rFonts w:ascii="宋体" w:eastAsia="宋体" w:hAnsi="宋体" w:cs="宋体" w:hint="eastAsia"/>
          <w:color w:val="000000"/>
          <w:spacing w:val="-6"/>
          <w:kern w:val="0"/>
          <w:sz w:val="32"/>
          <w:szCs w:val="32"/>
        </w:rPr>
        <w:t> 到常驻地以外出差，当天往返但公务活动超过半天的，或当天出差目的地涉及两个及以上市县的，或因工作需要延迟退房的，可以安排午休房或延迟退房，房费按照出差目的地住宿费限额标准的50%以内凭据报销。</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第四章 伙食补助费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第十二条</w:t>
      </w:r>
      <w:r w:rsidRPr="0082581D">
        <w:rPr>
          <w:rFonts w:ascii="宋体" w:eastAsia="宋体" w:hAnsi="宋体" w:cs="宋体" w:hint="eastAsia"/>
          <w:color w:val="000000"/>
          <w:spacing w:val="-6"/>
          <w:kern w:val="0"/>
          <w:sz w:val="32"/>
          <w:szCs w:val="32"/>
        </w:rPr>
        <w:t> 伙食补助费是指对工作人员在因公出差期间给予的伙食补助费用。</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第十三条 </w:t>
      </w:r>
      <w:r w:rsidRPr="0082581D">
        <w:rPr>
          <w:rFonts w:ascii="宋体" w:eastAsia="宋体" w:hAnsi="宋体" w:cs="宋体" w:hint="eastAsia"/>
          <w:color w:val="000000"/>
          <w:spacing w:val="-6"/>
          <w:kern w:val="0"/>
          <w:sz w:val="32"/>
          <w:szCs w:val="32"/>
        </w:rPr>
        <w:t>出差人员伙食补助费按出差自然（日历）天数计算，包干使用。发放标准除西藏、青海、新疆为120元/人·天外，其余地区均为100元/人·天。在途期间的伙食补助费按当天最后到达目的地的标准报销。</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第五章 市内交通费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第十四条</w:t>
      </w:r>
      <w:r w:rsidRPr="0082581D">
        <w:rPr>
          <w:rFonts w:ascii="宋体" w:eastAsia="宋体" w:hAnsi="宋体" w:cs="宋体" w:hint="eastAsia"/>
          <w:color w:val="000000"/>
          <w:spacing w:val="-6"/>
          <w:kern w:val="0"/>
          <w:sz w:val="32"/>
          <w:szCs w:val="32"/>
        </w:rPr>
        <w:t> 市内交通费是指工作人员因公出差期间发生的市内交通费用。</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第十五条</w:t>
      </w:r>
      <w:r w:rsidRPr="0082581D">
        <w:rPr>
          <w:rFonts w:ascii="宋体" w:eastAsia="宋体" w:hAnsi="宋体" w:cs="宋体" w:hint="eastAsia"/>
          <w:color w:val="000000"/>
          <w:spacing w:val="-6"/>
          <w:kern w:val="0"/>
          <w:sz w:val="32"/>
          <w:szCs w:val="32"/>
        </w:rPr>
        <w:t> 市内交通费按出差自然(日历)天数计算，每人每天80元包干使用。出差人员自带或租用交通工具出差的不再报销市内交通费。</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第六章 报销管理</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第十六条</w:t>
      </w:r>
      <w:r w:rsidRPr="0082581D">
        <w:rPr>
          <w:rFonts w:ascii="宋体" w:eastAsia="宋体" w:hAnsi="宋体" w:cs="宋体" w:hint="eastAsia"/>
          <w:color w:val="000000"/>
          <w:spacing w:val="-6"/>
          <w:kern w:val="0"/>
          <w:sz w:val="32"/>
          <w:szCs w:val="32"/>
        </w:rPr>
        <w:t xml:space="preserve">　出差应履行单位审批手续。若差旅费报销单签字齐全，视同出差人所在单位已经审批同意出差。</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lastRenderedPageBreak/>
        <w:t>第十七条 </w:t>
      </w:r>
      <w:r w:rsidRPr="0082581D">
        <w:rPr>
          <w:rFonts w:ascii="宋体" w:eastAsia="宋体" w:hAnsi="宋体" w:cs="宋体" w:hint="eastAsia"/>
          <w:color w:val="000000"/>
          <w:spacing w:val="-6"/>
          <w:kern w:val="0"/>
          <w:sz w:val="32"/>
          <w:szCs w:val="32"/>
        </w:rPr>
        <w:t>出差途中各段行程的城市间交通费票据应保持连续、完整。如不完整，须出差人在报销单上说明原因。</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第十八条</w:t>
      </w:r>
      <w:r w:rsidRPr="0082581D">
        <w:rPr>
          <w:rFonts w:ascii="宋体" w:eastAsia="宋体" w:hAnsi="宋体" w:cs="宋体" w:hint="eastAsia"/>
          <w:color w:val="000000"/>
          <w:spacing w:val="-6"/>
          <w:kern w:val="0"/>
          <w:sz w:val="32"/>
          <w:szCs w:val="32"/>
        </w:rPr>
        <w:t> 出差人员出差结束后，原则上应在一个月内办理报销手续。出差人员在出差期间所发生的差旅相关所有费用，应一次报销，事后不得补报。</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第十九条 </w:t>
      </w:r>
      <w:r w:rsidRPr="0082581D">
        <w:rPr>
          <w:rFonts w:ascii="宋体" w:eastAsia="宋体" w:hAnsi="宋体" w:cs="宋体" w:hint="eastAsia"/>
          <w:color w:val="000000"/>
          <w:spacing w:val="-6"/>
          <w:kern w:val="0"/>
          <w:sz w:val="32"/>
          <w:szCs w:val="32"/>
        </w:rPr>
        <w:t>住</w:t>
      </w:r>
      <w:r w:rsidRPr="0082581D">
        <w:rPr>
          <w:rFonts w:ascii="宋体" w:eastAsia="宋体" w:hAnsi="宋体" w:cs="宋体" w:hint="eastAsia"/>
          <w:color w:val="000000"/>
          <w:spacing w:val="-16"/>
          <w:kern w:val="0"/>
          <w:sz w:val="32"/>
          <w:szCs w:val="32"/>
        </w:rPr>
        <w:t>宿费、机票支出等原则上按照公务卡相关规定结算。</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第二十条</w:t>
      </w:r>
      <w:r w:rsidRPr="0082581D">
        <w:rPr>
          <w:rFonts w:ascii="宋体" w:eastAsia="宋体" w:hAnsi="宋体" w:cs="宋体" w:hint="eastAsia"/>
          <w:color w:val="000000"/>
          <w:spacing w:val="-6"/>
          <w:kern w:val="0"/>
          <w:sz w:val="32"/>
          <w:szCs w:val="32"/>
        </w:rPr>
        <w:t> 出差人员参加会议（含培训），凭通知报销会务费、注册费、培训费等费用，不发放会议期间的补助费用，在途期间的住宿费、伙食补助费和市内交通费按照差旅费规定报销。</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第二十一条</w:t>
      </w:r>
      <w:r w:rsidRPr="0082581D">
        <w:rPr>
          <w:rFonts w:ascii="宋体" w:eastAsia="宋体" w:hAnsi="宋体" w:cs="宋体" w:hint="eastAsia"/>
          <w:color w:val="000000"/>
          <w:spacing w:val="-6"/>
          <w:kern w:val="0"/>
          <w:sz w:val="32"/>
          <w:szCs w:val="32"/>
        </w:rPr>
        <w:t> 出差人员应凭住宿费发票和城市间交通费票据领取伙食补助费和市内交通费。对于实际发生住宿而无法取得相关票据的，按下列规定报销：</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（一）受邀参加学术会议、研讨会、评审会、座谈会等，须提供邀请方负担住宿费的有效证明，无法提供有效证明的，出差人员须提供书面情况说明，经所在单位审批同意后，按规定标准发放往返路途的补助费。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（二）对于难以取得发票的情况如：科研合作、开展野外调研、社会调查、考古挖掘、环境监测、气象观测、地质调查、工地勘察、海洋科学考察等工作，住在帐篷、农户、</w:t>
      </w:r>
      <w:r w:rsidRPr="0082581D">
        <w:rPr>
          <w:rFonts w:ascii="宋体" w:eastAsia="宋体" w:hAnsi="宋体" w:cs="宋体" w:hint="eastAsia"/>
          <w:color w:val="000000"/>
          <w:spacing w:val="-6"/>
          <w:kern w:val="0"/>
          <w:sz w:val="32"/>
          <w:szCs w:val="32"/>
        </w:rPr>
        <w:lastRenderedPageBreak/>
        <w:t>船舶、厂矿、科研基地、考察站、监测站、农场、林场、学生宿舍和教室等不收取住宿费或不能取得住宿费发票的，提供住宿情况说明及其他有关凭据，无法提供有效证明的，出差人员须提供书面情况说明，经所在单位审批同意后，按规定标准发放出差期间的伙食补助费和市内交通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第二十二条</w:t>
      </w:r>
      <w:r w:rsidRPr="0082581D">
        <w:rPr>
          <w:rFonts w:ascii="宋体" w:eastAsia="宋体" w:hAnsi="宋体" w:cs="宋体" w:hint="eastAsia"/>
          <w:color w:val="000000"/>
          <w:spacing w:val="-6"/>
          <w:kern w:val="0"/>
          <w:sz w:val="32"/>
          <w:szCs w:val="32"/>
        </w:rPr>
        <w:t> 工作人员出差原则上不得私车公用。特殊情况经经费审批人批准，按照差旅费核定的费用限额凭票报销车辆出行所耗费的油料费、过路桥费、停车费。私家车的保险、维修等费用一律不得报销，出现交通事故等意外的责任及费用全部自理。</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第二十三条</w:t>
      </w:r>
      <w:r w:rsidRPr="0082581D">
        <w:rPr>
          <w:rFonts w:ascii="宋体" w:eastAsia="宋体" w:hAnsi="宋体" w:cs="宋体" w:hint="eastAsia"/>
          <w:color w:val="000000"/>
          <w:spacing w:val="-6"/>
          <w:kern w:val="0"/>
          <w:sz w:val="32"/>
          <w:szCs w:val="32"/>
        </w:rPr>
        <w:t> 邀请专家来校交流、开会、访问的，可按差旅费规定报销受邀人员城市间交通费、住宿费，不发放伙食补助费和市内交通费。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邀请专家赴外地参加调研的，除报销受邀人员城市间交通费、住宿费外，还可发放伙食补助费和市内交通费。</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第七章 其他相关规定</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第二十四条</w:t>
      </w:r>
      <w:r w:rsidRPr="0082581D">
        <w:rPr>
          <w:rFonts w:ascii="宋体" w:eastAsia="宋体" w:hAnsi="宋体" w:cs="宋体" w:hint="eastAsia"/>
          <w:color w:val="000000"/>
          <w:spacing w:val="-6"/>
          <w:kern w:val="0"/>
          <w:sz w:val="32"/>
          <w:szCs w:val="32"/>
        </w:rPr>
        <w:t> 出差人员到闽侯县、连江县贵安参加会议、培训，原则上不报销住宿费、伙食补助费和市内交通费；到闽侯县、连江县贵安和长乐机场开展其他公务活动，当天往返的，不报销住宿费、伙食补助费和市内交通费，确因工作原因误餐，经学院（部门）领导签批，每人每天发放</w:t>
      </w:r>
      <w:r w:rsidRPr="0082581D">
        <w:rPr>
          <w:rFonts w:ascii="宋体" w:eastAsia="宋体" w:hAnsi="宋体" w:cs="宋体" w:hint="eastAsia"/>
          <w:color w:val="000000"/>
          <w:spacing w:val="-6"/>
          <w:kern w:val="0"/>
          <w:sz w:val="32"/>
          <w:szCs w:val="32"/>
        </w:rPr>
        <w:lastRenderedPageBreak/>
        <w:t>误餐补助40元；当天无法往返需要住宿的，按照差旅费管理办法执行。</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第二十五条 </w:t>
      </w:r>
      <w:r w:rsidRPr="0082581D">
        <w:rPr>
          <w:rFonts w:ascii="宋体" w:eastAsia="宋体" w:hAnsi="宋体" w:cs="宋体" w:hint="eastAsia"/>
          <w:color w:val="000000"/>
          <w:spacing w:val="-6"/>
          <w:kern w:val="0"/>
          <w:sz w:val="32"/>
          <w:szCs w:val="32"/>
        </w:rPr>
        <w:t> 出差人员因国内访学、科研协作等事由到国内各地出差时间超过15日（含15日）的，应当经部门批准同意后报人事处审批备案后方可成行。</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第二十六条 </w:t>
      </w:r>
      <w:r w:rsidRPr="0082581D">
        <w:rPr>
          <w:rFonts w:ascii="宋体" w:eastAsia="宋体" w:hAnsi="宋体" w:cs="宋体" w:hint="eastAsia"/>
          <w:color w:val="000000"/>
          <w:spacing w:val="-6"/>
          <w:kern w:val="0"/>
          <w:sz w:val="32"/>
          <w:szCs w:val="32"/>
        </w:rPr>
        <w:t> 出差人员补贴按分段式发放，出差天数在15天（含15天）以内，每日的伙食补助费及市内交通费按照标准发放；出差天数在15天以上1个月（含1个月）以内，从第16日开始，每日的伙食补助费及市内交通费按照标准的50%发放；出差天数1个月以上的，必须出具未发放补贴的证明，从第二个月开始，每日的伙食补助费及市内交通费按照标准的25%发放，否则，不予发放该期间的伙食补助费及市内交通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第二十七条 </w:t>
      </w:r>
      <w:r w:rsidRPr="0082581D">
        <w:rPr>
          <w:rFonts w:ascii="宋体" w:eastAsia="宋体" w:hAnsi="宋体" w:cs="宋体" w:hint="eastAsia"/>
          <w:color w:val="000000"/>
          <w:spacing w:val="-6"/>
          <w:kern w:val="0"/>
          <w:sz w:val="32"/>
          <w:szCs w:val="32"/>
        </w:rPr>
        <w:t> 学生参与教学科研活动以及参加竞赛等活动参照一般工作人员的城市间交通费以及住宿费标准报销差旅费，补助费每人每天50元包干使用，或由经费负责人签批“同意按助教待遇报销”后按一般工作人员补助标准发放；学生实习经费以及社会实践采取包干形式领取，不参考差旅费标准报销。</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第二十八条</w:t>
      </w:r>
      <w:r w:rsidRPr="0082581D">
        <w:rPr>
          <w:rFonts w:ascii="宋体" w:eastAsia="宋体" w:hAnsi="宋体" w:cs="宋体" w:hint="eastAsia"/>
          <w:color w:val="000000"/>
          <w:spacing w:val="-6"/>
          <w:kern w:val="0"/>
          <w:sz w:val="32"/>
          <w:szCs w:val="32"/>
        </w:rPr>
        <w:t> 经组织人事部门同意，抽调到中央部(委、局)协助开展专项工作的，往返两地发生的城市间交通费、伙</w:t>
      </w:r>
      <w:r w:rsidRPr="0082581D">
        <w:rPr>
          <w:rFonts w:ascii="宋体" w:eastAsia="宋体" w:hAnsi="宋体" w:cs="宋体" w:hint="eastAsia"/>
          <w:color w:val="000000"/>
          <w:spacing w:val="-6"/>
          <w:kern w:val="0"/>
          <w:sz w:val="32"/>
          <w:szCs w:val="32"/>
        </w:rPr>
        <w:lastRenderedPageBreak/>
        <w:t>食补助费和市内交通费按照差旅费管理办法的规定报销（其中，伙食补助费和市内交通费按往返各1天计发），每两个月报销不超过1次，一往一返计1次。抽调工作期间，食宿费原则上由抽调单位负责，确需自行安排食宿的，凭抽调单位财务部门证明，由所在单位在差旅费开支标准限额内据实报销住宿费，同时按每人每天100元发放伙食补助费，不再报销市内交通费。</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第二十九条</w:t>
      </w:r>
      <w:r w:rsidRPr="0082581D">
        <w:rPr>
          <w:rFonts w:ascii="宋体" w:eastAsia="宋体" w:hAnsi="宋体" w:cs="宋体" w:hint="eastAsia"/>
          <w:color w:val="000000"/>
          <w:spacing w:val="-6"/>
          <w:kern w:val="0"/>
          <w:sz w:val="32"/>
          <w:szCs w:val="32"/>
        </w:rPr>
        <w:t> 经学校党委组织部安排的挂职锻炼，包括对口支援、驻村任职、驻村蹲点、科技服务团等，严格执行组织部门有关规定，不执行省直机关差旅费管理办法。</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第三十条 </w:t>
      </w:r>
      <w:r w:rsidRPr="0082581D">
        <w:rPr>
          <w:rFonts w:ascii="宋体" w:eastAsia="宋体" w:hAnsi="宋体" w:cs="宋体" w:hint="eastAsia"/>
          <w:color w:val="000000"/>
          <w:spacing w:val="-6"/>
          <w:kern w:val="0"/>
          <w:sz w:val="32"/>
          <w:szCs w:val="32"/>
        </w:rPr>
        <w:t> 引进人员调动的交通费、运杂费等，由校人事处审批后按实报销。</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第三十一条</w:t>
      </w:r>
      <w:r w:rsidRPr="0082581D">
        <w:rPr>
          <w:rFonts w:ascii="宋体" w:eastAsia="宋体" w:hAnsi="宋体" w:cs="宋体" w:hint="eastAsia"/>
          <w:color w:val="000000"/>
          <w:spacing w:val="-6"/>
          <w:kern w:val="0"/>
          <w:sz w:val="32"/>
          <w:szCs w:val="32"/>
        </w:rPr>
        <w:t> 应</w:t>
      </w:r>
      <w:r w:rsidRPr="0082581D">
        <w:rPr>
          <w:rFonts w:ascii="宋体" w:eastAsia="宋体" w:hAnsi="宋体" w:cs="宋体" w:hint="eastAsia"/>
          <w:color w:val="000000"/>
          <w:spacing w:val="-12"/>
          <w:kern w:val="0"/>
          <w:sz w:val="32"/>
          <w:szCs w:val="32"/>
        </w:rPr>
        <w:t>邀来校面试人员可报销面试往返城市间交通费</w:t>
      </w:r>
      <w:r w:rsidRPr="0082581D">
        <w:rPr>
          <w:rFonts w:ascii="宋体" w:eastAsia="宋体" w:hAnsi="宋体" w:cs="宋体" w:hint="eastAsia"/>
          <w:color w:val="000000"/>
          <w:spacing w:val="-6"/>
          <w:kern w:val="0"/>
          <w:sz w:val="32"/>
          <w:szCs w:val="32"/>
        </w:rPr>
        <w:t>。</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第八章 监督问责</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第三十二条</w:t>
      </w:r>
      <w:r w:rsidRPr="0082581D">
        <w:rPr>
          <w:rFonts w:ascii="宋体" w:eastAsia="宋体" w:hAnsi="宋体" w:cs="宋体" w:hint="eastAsia"/>
          <w:color w:val="000000"/>
          <w:spacing w:val="-6"/>
          <w:kern w:val="0"/>
          <w:sz w:val="32"/>
          <w:szCs w:val="32"/>
        </w:rPr>
        <w:t> 各</w:t>
      </w:r>
      <w:r w:rsidRPr="0082581D">
        <w:rPr>
          <w:rFonts w:ascii="宋体" w:eastAsia="宋体" w:hAnsi="宋体" w:cs="宋体" w:hint="eastAsia"/>
          <w:color w:val="000000"/>
          <w:spacing w:val="-12"/>
          <w:kern w:val="0"/>
          <w:sz w:val="32"/>
          <w:szCs w:val="32"/>
        </w:rPr>
        <w:t>单位、科研项目负责人要加强工作人员出差活动和经费报销的内控管理，对差旅费预算及规模控制负责，相关领导、财务人员等对差旅费报销进行审核把关，出差人确保票据来源合法，内容真实完整、合规。对违反差旅费管理制度的人员进行严肃处理，自觉接受学校有关部门对出差活动及相关经费支出的监督检查。</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lastRenderedPageBreak/>
        <w:t>第三十三条</w:t>
      </w:r>
      <w:r w:rsidRPr="0082581D">
        <w:rPr>
          <w:rFonts w:ascii="宋体" w:eastAsia="宋体" w:hAnsi="宋体" w:cs="宋体" w:hint="eastAsia"/>
          <w:color w:val="000000"/>
          <w:spacing w:val="-6"/>
          <w:kern w:val="0"/>
          <w:sz w:val="32"/>
          <w:szCs w:val="32"/>
        </w:rPr>
        <w:t> 出差人员不得向接待单位提出正常公务活动以外的要求，不得在出差期间接受违反规定用公款支付的宴请、游览和非工作需要的参观，不得接受礼品、礼金和土特产品等。</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第三十四条 </w:t>
      </w:r>
      <w:r w:rsidRPr="0082581D">
        <w:rPr>
          <w:rFonts w:ascii="宋体" w:eastAsia="宋体" w:hAnsi="宋体" w:cs="宋体" w:hint="eastAsia"/>
          <w:color w:val="000000"/>
          <w:spacing w:val="-6"/>
          <w:kern w:val="0"/>
          <w:sz w:val="32"/>
          <w:szCs w:val="32"/>
        </w:rPr>
        <w:t> 违反本办法，有下列行为之一的，依法依规追究相关单位和人员的责任：</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（一）弄虚作假、虚报冒领差旅费的；</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（二）擅自扩大差旅费开支范围、提高开支标准的；</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（三）不按规定报销差旅费的；</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（四）转嫁差旅费的；</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（五）其他违反本办法行为的。</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有前款所列行为之一的，由学校纪检监察、审计、财务等部门责令改正，涉及违规资金的，予以追回，并视情况予以通报。对直接责任人和相关负责人，学校按规定给予行政处分。涉嫌违法的，移交司法机关处理。</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spacing w:val="-6"/>
          <w:kern w:val="0"/>
          <w:sz w:val="32"/>
          <w:szCs w:val="32"/>
        </w:rPr>
        <w:t>第九章 附 则</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第三十五条 </w:t>
      </w:r>
      <w:r w:rsidRPr="0082581D">
        <w:rPr>
          <w:rFonts w:ascii="宋体" w:eastAsia="宋体" w:hAnsi="宋体" w:cs="宋体" w:hint="eastAsia"/>
          <w:color w:val="000000"/>
          <w:spacing w:val="-6"/>
          <w:kern w:val="0"/>
          <w:sz w:val="32"/>
          <w:szCs w:val="32"/>
        </w:rPr>
        <w:t>住宿费、伙食补助费、市内交通费等差旅费标准，根据物价等因素进行动态调整。</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t>第三十六条 </w:t>
      </w:r>
      <w:r w:rsidRPr="0082581D">
        <w:rPr>
          <w:rFonts w:ascii="宋体" w:eastAsia="宋体" w:hAnsi="宋体" w:cs="宋体" w:hint="eastAsia"/>
          <w:color w:val="000000"/>
          <w:spacing w:val="-6"/>
          <w:kern w:val="0"/>
          <w:sz w:val="32"/>
          <w:szCs w:val="32"/>
        </w:rPr>
        <w:t> 本办法由校计划财务处负责解释。</w:t>
      </w:r>
    </w:p>
    <w:p w:rsidR="0082581D" w:rsidRPr="0082581D" w:rsidRDefault="0082581D" w:rsidP="0082581D">
      <w:pPr>
        <w:widowControl/>
        <w:spacing w:line="640" w:lineRule="atLeast"/>
        <w:ind w:firstLine="616"/>
        <w:jc w:val="left"/>
        <w:rPr>
          <w:rFonts w:ascii="宋体" w:eastAsia="宋体" w:hAnsi="宋体" w:cs="宋体" w:hint="eastAsia"/>
          <w:color w:val="000000"/>
          <w:kern w:val="0"/>
          <w:sz w:val="20"/>
          <w:szCs w:val="20"/>
        </w:rPr>
      </w:pPr>
      <w:r w:rsidRPr="0082581D">
        <w:rPr>
          <w:rFonts w:ascii="宋体" w:eastAsia="宋体" w:hAnsi="宋体" w:cs="宋体" w:hint="eastAsia"/>
          <w:b/>
          <w:bCs/>
          <w:color w:val="000000"/>
          <w:spacing w:val="-6"/>
          <w:kern w:val="0"/>
          <w:sz w:val="32"/>
          <w:szCs w:val="32"/>
        </w:rPr>
        <w:lastRenderedPageBreak/>
        <w:t>第三十七条 </w:t>
      </w:r>
      <w:r w:rsidRPr="0082581D">
        <w:rPr>
          <w:rFonts w:ascii="宋体" w:eastAsia="宋体" w:hAnsi="宋体" w:cs="宋体" w:hint="eastAsia"/>
          <w:color w:val="000000"/>
          <w:spacing w:val="-6"/>
          <w:kern w:val="0"/>
          <w:sz w:val="32"/>
          <w:szCs w:val="32"/>
        </w:rPr>
        <w:t> 本</w:t>
      </w:r>
      <w:r w:rsidRPr="0082581D">
        <w:rPr>
          <w:rFonts w:ascii="宋体" w:eastAsia="宋体" w:hAnsi="宋体" w:cs="宋体" w:hint="eastAsia"/>
          <w:color w:val="000000"/>
          <w:spacing w:val="-10"/>
          <w:kern w:val="0"/>
          <w:sz w:val="32"/>
          <w:szCs w:val="32"/>
        </w:rPr>
        <w:t>办法自发布之日起施行，原《福州大学国（境）内差旅费管理暂行办法》（福大财〔2016〕27号）同时废止。</w:t>
      </w:r>
    </w:p>
    <w:p w:rsidR="0082581D" w:rsidRPr="0082581D" w:rsidRDefault="0082581D" w:rsidP="0082581D">
      <w:pPr>
        <w:widowControl/>
        <w:spacing w:line="640" w:lineRule="atLeast"/>
        <w:jc w:val="left"/>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jc w:val="left"/>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jc w:val="left"/>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jc w:val="left"/>
        <w:rPr>
          <w:rFonts w:ascii="宋体" w:eastAsia="宋体" w:hAnsi="宋体" w:cs="宋体" w:hint="eastAsia"/>
          <w:color w:val="000000"/>
          <w:kern w:val="0"/>
          <w:sz w:val="20"/>
          <w:szCs w:val="20"/>
        </w:rPr>
      </w:pPr>
      <w:bookmarkStart w:id="0" w:name="RANGE!A1:K93"/>
      <w:r w:rsidRPr="0082581D">
        <w:rPr>
          <w:rFonts w:ascii="宋体" w:eastAsia="宋体" w:hAnsi="宋体" w:cs="宋体" w:hint="eastAsia"/>
          <w:color w:val="4B4B4B"/>
          <w:spacing w:val="-6"/>
          <w:kern w:val="0"/>
          <w:sz w:val="32"/>
          <w:szCs w:val="32"/>
        </w:rPr>
        <w:t>附件</w:t>
      </w:r>
      <w:bookmarkEnd w:id="0"/>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hyperlink r:id="rId4" w:history="1">
        <w:r w:rsidRPr="0082581D">
          <w:rPr>
            <w:rFonts w:ascii="宋体" w:eastAsia="宋体" w:hAnsi="宋体" w:cs="宋体" w:hint="eastAsia"/>
            <w:color w:val="4B4B4B"/>
            <w:spacing w:val="-6"/>
            <w:kern w:val="0"/>
            <w:sz w:val="44"/>
            <w:szCs w:val="44"/>
          </w:rPr>
          <w:t>福州大学差旅住宿费标准明细表</w:t>
        </w:r>
      </w:hyperlink>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0"/>
          <w:szCs w:val="20"/>
        </w:rPr>
        <w:t> </w:t>
      </w:r>
    </w:p>
    <w:p w:rsidR="0082581D" w:rsidRPr="0082581D" w:rsidRDefault="0082581D" w:rsidP="0082581D">
      <w:pPr>
        <w:widowControl/>
        <w:spacing w:line="640" w:lineRule="atLeast"/>
        <w:jc w:val="center"/>
        <w:rPr>
          <w:rFonts w:ascii="宋体" w:eastAsia="宋体" w:hAnsi="宋体" w:cs="宋体" w:hint="eastAsia"/>
          <w:color w:val="000000"/>
          <w:kern w:val="0"/>
          <w:sz w:val="20"/>
          <w:szCs w:val="20"/>
        </w:rPr>
      </w:pPr>
      <w:r w:rsidRPr="0082581D">
        <w:rPr>
          <w:rFonts w:ascii="宋体" w:eastAsia="宋体" w:hAnsi="宋体" w:cs="宋体" w:hint="eastAsia"/>
          <w:color w:val="000000"/>
          <w:kern w:val="0"/>
          <w:sz w:val="24"/>
          <w:szCs w:val="24"/>
        </w:rPr>
        <w:t>                                                   单位:元/人·天</w:t>
      </w:r>
    </w:p>
    <w:tbl>
      <w:tblPr>
        <w:tblW w:w="9780" w:type="dxa"/>
        <w:jc w:val="center"/>
        <w:tblCellMar>
          <w:left w:w="0" w:type="dxa"/>
          <w:right w:w="0" w:type="dxa"/>
        </w:tblCellMar>
        <w:tblLook w:val="04A0" w:firstRow="1" w:lastRow="0" w:firstColumn="1" w:lastColumn="0" w:noHBand="0" w:noVBand="1"/>
      </w:tblPr>
      <w:tblGrid>
        <w:gridCol w:w="698"/>
        <w:gridCol w:w="457"/>
        <w:gridCol w:w="1940"/>
        <w:gridCol w:w="599"/>
        <w:gridCol w:w="524"/>
        <w:gridCol w:w="709"/>
        <w:gridCol w:w="1451"/>
        <w:gridCol w:w="1036"/>
        <w:gridCol w:w="851"/>
        <w:gridCol w:w="708"/>
        <w:gridCol w:w="807"/>
      </w:tblGrid>
      <w:tr w:rsidR="0082581D" w:rsidRPr="0082581D" w:rsidTr="0082581D">
        <w:trPr>
          <w:trHeight w:val="323"/>
          <w:tblHeader/>
          <w:jc w:val="center"/>
        </w:trPr>
        <w:tc>
          <w:tcPr>
            <w:tcW w:w="46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hint="eastAsia"/>
                <w:kern w:val="0"/>
                <w:sz w:val="24"/>
                <w:szCs w:val="24"/>
              </w:rPr>
            </w:pPr>
            <w:r w:rsidRPr="0082581D">
              <w:rPr>
                <w:rFonts w:ascii="宋体" w:eastAsia="宋体" w:hAnsi="宋体" w:cs="宋体"/>
                <w:b/>
                <w:bCs/>
                <w:color w:val="000000"/>
                <w:kern w:val="0"/>
                <w:sz w:val="24"/>
                <w:szCs w:val="24"/>
              </w:rPr>
              <w:t>序号 </w:t>
            </w:r>
          </w:p>
        </w:tc>
        <w:tc>
          <w:tcPr>
            <w:tcW w:w="2333" w:type="dxa"/>
            <w:gridSpan w:val="2"/>
            <w:vMerge w:val="restart"/>
            <w:tcBorders>
              <w:top w:val="single" w:sz="8" w:space="0" w:color="auto"/>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地区</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(城市)</w:t>
            </w:r>
          </w:p>
        </w:tc>
        <w:tc>
          <w:tcPr>
            <w:tcW w:w="2126" w:type="dxa"/>
            <w:gridSpan w:val="3"/>
            <w:vMerge w:val="restart"/>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住宿费标准</w:t>
            </w:r>
          </w:p>
        </w:tc>
        <w:tc>
          <w:tcPr>
            <w:tcW w:w="1451" w:type="dxa"/>
            <w:vMerge w:val="restart"/>
            <w:tcBorders>
              <w:top w:val="single" w:sz="8" w:space="0" w:color="auto"/>
              <w:left w:val="nil"/>
              <w:bottom w:val="single" w:sz="8" w:space="0" w:color="000000"/>
              <w:right w:val="nil"/>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旺季地区</w:t>
            </w:r>
          </w:p>
        </w:tc>
        <w:tc>
          <w:tcPr>
            <w:tcW w:w="3402" w:type="dxa"/>
            <w:gridSpan w:val="4"/>
            <w:tcBorders>
              <w:top w:val="single" w:sz="8" w:space="0" w:color="auto"/>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旺季浮动标准</w:t>
            </w:r>
          </w:p>
        </w:tc>
      </w:tr>
      <w:tr w:rsidR="0082581D" w:rsidRPr="0082581D" w:rsidTr="0082581D">
        <w:trPr>
          <w:trHeight w:val="126"/>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gridSpan w:val="3"/>
            <w:vMerge/>
            <w:tcBorders>
              <w:top w:val="single" w:sz="8" w:space="0" w:color="auto"/>
              <w:left w:val="nil"/>
              <w:bottom w:val="single" w:sz="8" w:space="0" w:color="auto"/>
              <w:right w:val="single" w:sz="8" w:space="0" w:color="000000"/>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000000"/>
              <w:right w:val="nil"/>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036" w:type="dxa"/>
            <w:vMerge w:val="restart"/>
            <w:tcBorders>
              <w:top w:val="nil"/>
              <w:left w:val="single" w:sz="8" w:space="0" w:color="auto"/>
              <w:bottom w:val="single" w:sz="8" w:space="0" w:color="000000"/>
              <w:right w:val="nil"/>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旺季</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期间</w:t>
            </w:r>
          </w:p>
        </w:tc>
        <w:tc>
          <w:tcPr>
            <w:tcW w:w="2366" w:type="dxa"/>
            <w:gridSpan w:val="3"/>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18"/>
                <w:szCs w:val="18"/>
              </w:rPr>
              <w:t>旺季上浮价</w:t>
            </w:r>
          </w:p>
        </w:tc>
      </w:tr>
      <w:tr w:rsidR="0082581D" w:rsidRPr="0082581D" w:rsidTr="0082581D">
        <w:trPr>
          <w:trHeight w:val="358"/>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kern w:val="0"/>
                <w:sz w:val="18"/>
                <w:szCs w:val="18"/>
              </w:rPr>
              <w:t>一类</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kern w:val="0"/>
                <w:sz w:val="18"/>
                <w:szCs w:val="18"/>
              </w:rPr>
              <w:t>二类</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kern w:val="0"/>
                <w:sz w:val="18"/>
                <w:szCs w:val="18"/>
              </w:rPr>
              <w:t>三类</w:t>
            </w:r>
          </w:p>
        </w:tc>
        <w:tc>
          <w:tcPr>
            <w:tcW w:w="0" w:type="auto"/>
            <w:vMerge/>
            <w:tcBorders>
              <w:top w:val="single" w:sz="8" w:space="0" w:color="auto"/>
              <w:left w:val="nil"/>
              <w:bottom w:val="single" w:sz="8" w:space="0" w:color="000000"/>
              <w:right w:val="nil"/>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single" w:sz="8" w:space="0" w:color="auto"/>
              <w:bottom w:val="single" w:sz="8" w:space="0" w:color="000000"/>
              <w:right w:val="nil"/>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kern w:val="0"/>
                <w:sz w:val="18"/>
                <w:szCs w:val="18"/>
              </w:rPr>
              <w:t>一类</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kern w:val="0"/>
                <w:sz w:val="18"/>
                <w:szCs w:val="18"/>
              </w:rPr>
              <w:t>二类</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kern w:val="0"/>
                <w:sz w:val="18"/>
                <w:szCs w:val="18"/>
              </w:rPr>
              <w:t>三类</w:t>
            </w:r>
          </w:p>
        </w:tc>
      </w:tr>
      <w:tr w:rsidR="0082581D" w:rsidRPr="0082581D" w:rsidTr="0082581D">
        <w:trPr>
          <w:trHeight w:val="432"/>
          <w:jc w:val="center"/>
        </w:trPr>
        <w:tc>
          <w:tcPr>
            <w:tcW w:w="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w:t>
            </w:r>
          </w:p>
        </w:tc>
        <w:tc>
          <w:tcPr>
            <w:tcW w:w="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北京</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792"/>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天津</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6个中心城区、</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滨海新区、东丽区、</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西青区、津南区、</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lastRenderedPageBreak/>
              <w:t>北辰区、武清区、</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宝坻区、静海区、蓟县</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380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58"/>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宁河区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320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552"/>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河北</w:t>
            </w:r>
          </w:p>
        </w:tc>
        <w:tc>
          <w:tcPr>
            <w:tcW w:w="1940"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石家庄市、张家口市、秦皇岛市、廊坊市、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承德市、保定市</w:t>
            </w:r>
          </w:p>
        </w:tc>
        <w:tc>
          <w:tcPr>
            <w:tcW w:w="70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张家口市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11～3月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675</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525</w:t>
            </w:r>
          </w:p>
        </w:tc>
      </w:tr>
      <w:tr w:rsidR="0082581D" w:rsidRPr="0082581D" w:rsidTr="0082581D">
        <w:trPr>
          <w:trHeight w:val="40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秦皇岛市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7～8月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680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r>
      <w:tr w:rsidR="0082581D" w:rsidRPr="0082581D" w:rsidTr="0082581D">
        <w:trPr>
          <w:trHeight w:val="383"/>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承德市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1000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580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580</w:t>
            </w:r>
          </w:p>
        </w:tc>
      </w:tr>
      <w:tr w:rsidR="0082581D" w:rsidRPr="0082581D" w:rsidTr="0082581D">
        <w:trPr>
          <w:trHeight w:val="432"/>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310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58"/>
          <w:jc w:val="center"/>
        </w:trPr>
        <w:tc>
          <w:tcPr>
            <w:tcW w:w="46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4</w:t>
            </w:r>
          </w:p>
        </w:tc>
        <w:tc>
          <w:tcPr>
            <w:tcW w:w="39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山西</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太原市、大同市、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晋城市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临汾市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58"/>
          <w:jc w:val="center"/>
        </w:trPr>
        <w:tc>
          <w:tcPr>
            <w:tcW w:w="0" w:type="auto"/>
            <w:vMerge/>
            <w:tcBorders>
              <w:top w:val="nil"/>
              <w:left w:val="single" w:sz="8" w:space="0" w:color="auto"/>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阳泉市、长治市、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晋中市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310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32"/>
          <w:jc w:val="center"/>
        </w:trPr>
        <w:tc>
          <w:tcPr>
            <w:tcW w:w="0" w:type="auto"/>
            <w:vMerge/>
            <w:tcBorders>
              <w:top w:val="nil"/>
              <w:left w:val="single" w:sz="8" w:space="0" w:color="auto"/>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240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92"/>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5</w:t>
            </w:r>
          </w:p>
        </w:tc>
        <w:tc>
          <w:tcPr>
            <w:tcW w:w="39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内蒙古</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呼和浩特市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460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578"/>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460</w:t>
            </w:r>
          </w:p>
        </w:tc>
        <w:tc>
          <w:tcPr>
            <w:tcW w:w="70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320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海拉尔市、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满洲里市、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阿尔山市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690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r>
      <w:tr w:rsidR="0082581D" w:rsidRPr="0082581D" w:rsidTr="0082581D">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二连浩特市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1000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580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r>
      <w:tr w:rsidR="0082581D" w:rsidRPr="0082581D" w:rsidTr="0082581D">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额济纳旗</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9～10月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690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r>
      <w:tr w:rsidR="0082581D" w:rsidRPr="0082581D" w:rsidTr="0082581D">
        <w:trPr>
          <w:trHeight w:val="432"/>
          <w:jc w:val="center"/>
        </w:trPr>
        <w:tc>
          <w:tcPr>
            <w:tcW w:w="469" w:type="dxa"/>
            <w:vMerge w:val="restar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6</w:t>
            </w:r>
          </w:p>
        </w:tc>
        <w:tc>
          <w:tcPr>
            <w:tcW w:w="393"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辽宁</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沈阳市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20"/>
          <w:jc w:val="center"/>
        </w:trPr>
        <w:tc>
          <w:tcPr>
            <w:tcW w:w="0" w:type="auto"/>
            <w:vMerge/>
            <w:tcBorders>
              <w:top w:val="nil"/>
              <w:left w:val="single" w:sz="8" w:space="0" w:color="auto"/>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32"/>
          <w:jc w:val="center"/>
        </w:trPr>
        <w:tc>
          <w:tcPr>
            <w:tcW w:w="4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7</w:t>
            </w:r>
          </w:p>
        </w:tc>
        <w:tc>
          <w:tcPr>
            <w:tcW w:w="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大连</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490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全市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960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590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420</w:t>
            </w:r>
          </w:p>
        </w:tc>
      </w:tr>
      <w:tr w:rsidR="0082581D" w:rsidRPr="0082581D" w:rsidTr="0082581D">
        <w:trPr>
          <w:trHeight w:val="818"/>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8</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吉林</w:t>
            </w:r>
          </w:p>
        </w:tc>
        <w:tc>
          <w:tcPr>
            <w:tcW w:w="1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长春市、吉林市、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延边州、长白山管理区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吉林市、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延边州、</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长白山管理区</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960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540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420</w:t>
            </w:r>
          </w:p>
        </w:tc>
      </w:tr>
      <w:tr w:rsidR="0082581D" w:rsidRPr="0082581D" w:rsidTr="0082581D">
        <w:trPr>
          <w:trHeight w:val="4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480"/>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9</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黑龙江</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哈尔滨市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哈尔滨市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960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540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420</w:t>
            </w:r>
          </w:p>
        </w:tc>
      </w:tr>
      <w:tr w:rsidR="0082581D" w:rsidRPr="0082581D" w:rsidTr="0082581D">
        <w:trPr>
          <w:trHeight w:val="111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牡丹江市、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伊春市、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大兴安岭地区、</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黑</w:t>
            </w:r>
            <w:r w:rsidRPr="0082581D">
              <w:rPr>
                <w:rFonts w:ascii="宋体" w:eastAsia="宋体" w:hAnsi="宋体" w:cs="宋体"/>
                <w:color w:val="000000"/>
                <w:spacing w:val="-10"/>
                <w:kern w:val="0"/>
                <w:sz w:val="18"/>
                <w:szCs w:val="18"/>
              </w:rPr>
              <w:t>河市、佳木斯市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6～8月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540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360</w:t>
            </w:r>
          </w:p>
        </w:tc>
      </w:tr>
      <w:tr w:rsidR="0082581D" w:rsidRPr="0082581D" w:rsidTr="0082581D">
        <w:trPr>
          <w:trHeight w:val="397"/>
          <w:jc w:val="center"/>
        </w:trPr>
        <w:tc>
          <w:tcPr>
            <w:tcW w:w="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10</w:t>
            </w:r>
          </w:p>
        </w:tc>
        <w:tc>
          <w:tcPr>
            <w:tcW w:w="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上海</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1100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11</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江苏</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南京市、苏州市、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无</w:t>
            </w:r>
            <w:r w:rsidRPr="0082581D">
              <w:rPr>
                <w:rFonts w:ascii="宋体" w:eastAsia="宋体" w:hAnsi="宋体" w:cs="宋体"/>
                <w:spacing w:val="-12"/>
                <w:kern w:val="0"/>
                <w:sz w:val="18"/>
                <w:szCs w:val="18"/>
              </w:rPr>
              <w:t>锡市、常州市、镇江市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490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380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490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360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12</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浙江</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杭州市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490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340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13</w:t>
            </w:r>
          </w:p>
        </w:tc>
        <w:tc>
          <w:tcPr>
            <w:tcW w:w="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宁波</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14</w:t>
            </w:r>
          </w:p>
        </w:tc>
        <w:tc>
          <w:tcPr>
            <w:tcW w:w="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安徽</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全省</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460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15</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福建</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福州市、泉州市、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平潭综合实验区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380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lastRenderedPageBreak/>
              <w:t>16</w:t>
            </w:r>
          </w:p>
        </w:tc>
        <w:tc>
          <w:tcPr>
            <w:tcW w:w="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厦门</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17</w:t>
            </w:r>
          </w:p>
        </w:tc>
        <w:tc>
          <w:tcPr>
            <w:tcW w:w="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江西</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全省</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470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1382"/>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18</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山东</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济南市、淄博市、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枣庄市、东营市、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烟台市、潍坊市、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济宁市、泰安市、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威海市、日照市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380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烟台市、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威海市、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日照市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960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570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r>
      <w:tr w:rsidR="0082581D" w:rsidRPr="0082581D" w:rsidTr="0082581D">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460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360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19</w:t>
            </w:r>
          </w:p>
        </w:tc>
        <w:tc>
          <w:tcPr>
            <w:tcW w:w="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b/>
                <w:bCs/>
                <w:color w:val="000000"/>
                <w:kern w:val="0"/>
                <w:sz w:val="24"/>
                <w:szCs w:val="24"/>
              </w:rPr>
              <w:t>青岛</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490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380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全市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960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590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r>
      <w:tr w:rsidR="0082581D" w:rsidRPr="0082581D" w:rsidTr="0082581D">
        <w:trPr>
          <w:trHeight w:val="397"/>
          <w:jc w:val="center"/>
        </w:trPr>
        <w:tc>
          <w:tcPr>
            <w:tcW w:w="46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20</w:t>
            </w:r>
          </w:p>
        </w:tc>
        <w:tc>
          <w:tcPr>
            <w:tcW w:w="39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河南</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郑州市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380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97"/>
          <w:jc w:val="center"/>
        </w:trPr>
        <w:tc>
          <w:tcPr>
            <w:tcW w:w="0" w:type="auto"/>
            <w:vMerge/>
            <w:tcBorders>
              <w:top w:val="nil"/>
              <w:left w:val="single" w:sz="8" w:space="0" w:color="auto"/>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洛阳市</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4～5月</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上旬</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720</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r>
      <w:tr w:rsidR="0082581D" w:rsidRPr="0082581D" w:rsidTr="0082581D">
        <w:trPr>
          <w:trHeight w:val="340"/>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21</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湖北</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武汉市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320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lastRenderedPageBreak/>
              <w:t>22</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湖南</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长沙市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469" w:type="dxa"/>
            <w:vMerge w:val="restar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23</w:t>
            </w:r>
          </w:p>
        </w:tc>
        <w:tc>
          <w:tcPr>
            <w:tcW w:w="393"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广东</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广州市、珠海市、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佛山市、东莞市、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中山市、江门市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530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420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4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24</w:t>
            </w:r>
          </w:p>
        </w:tc>
        <w:tc>
          <w:tcPr>
            <w:tcW w:w="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深圳</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469" w:type="dxa"/>
            <w:vMerge w:val="restar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25</w:t>
            </w:r>
          </w:p>
        </w:tc>
        <w:tc>
          <w:tcPr>
            <w:tcW w:w="393"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广西</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南宁市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470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470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桂林市、北海市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left"/>
              <w:rPr>
                <w:rFonts w:ascii="宋体" w:eastAsia="宋体" w:hAnsi="宋体" w:cs="宋体"/>
                <w:kern w:val="0"/>
                <w:sz w:val="24"/>
                <w:szCs w:val="24"/>
              </w:rPr>
            </w:pPr>
            <w:r w:rsidRPr="0082581D">
              <w:rPr>
                <w:rFonts w:ascii="宋体" w:eastAsia="宋体" w:hAnsi="宋体" w:cs="宋体"/>
                <w:color w:val="000000"/>
                <w:spacing w:val="-6"/>
                <w:kern w:val="0"/>
                <w:sz w:val="18"/>
                <w:szCs w:val="18"/>
              </w:rPr>
              <w:t>1～2月、</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1040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610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r>
      <w:tr w:rsidR="0082581D" w:rsidRPr="0082581D" w:rsidTr="0082581D">
        <w:trPr>
          <w:trHeight w:val="683"/>
          <w:jc w:val="center"/>
        </w:trPr>
        <w:tc>
          <w:tcPr>
            <w:tcW w:w="46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26</w:t>
            </w:r>
          </w:p>
        </w:tc>
        <w:tc>
          <w:tcPr>
            <w:tcW w:w="393"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海南</w:t>
            </w:r>
          </w:p>
        </w:tc>
        <w:tc>
          <w:tcPr>
            <w:tcW w:w="1940"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海口市、三沙市、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儋州市、五指山市、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文昌市、琼海市、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万宁市、东方市、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定安县、屯昌县、</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澄迈县、临高县、</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lastRenderedPageBreak/>
              <w:t>白沙县、昌江县、</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乐东县、陵水县、</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保亭县、琼中县、</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洋浦开发区</w:t>
            </w:r>
          </w:p>
        </w:tc>
        <w:tc>
          <w:tcPr>
            <w:tcW w:w="708"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800</w:t>
            </w:r>
          </w:p>
        </w:tc>
        <w:tc>
          <w:tcPr>
            <w:tcW w:w="709"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709"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海口市、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文昌市、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澄迈县</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11～2月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1040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650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r>
      <w:tr w:rsidR="0082581D" w:rsidRPr="0082581D" w:rsidTr="0082581D">
        <w:trPr>
          <w:trHeight w:val="68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琼海市、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万宁市、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陵水县、</w:t>
            </w:r>
          </w:p>
          <w:p w:rsidR="0082581D" w:rsidRPr="0082581D" w:rsidRDefault="0082581D" w:rsidP="0082581D">
            <w:pPr>
              <w:widowControl/>
              <w:spacing w:line="640" w:lineRule="atLeast"/>
              <w:ind w:firstLine="270"/>
              <w:jc w:val="left"/>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保亭县</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lastRenderedPageBreak/>
              <w:t>11～3月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1040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650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r>
      <w:tr w:rsidR="0082581D" w:rsidRPr="0082581D" w:rsidTr="0082581D">
        <w:trPr>
          <w:trHeight w:val="3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三亚市</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1000</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三亚市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10～4月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720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r>
      <w:tr w:rsidR="0082581D" w:rsidRPr="0082581D" w:rsidTr="0082581D">
        <w:trPr>
          <w:trHeight w:val="340"/>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27</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重庆</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9个中心城区、</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北部新区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370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770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28</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四川</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成都市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470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370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阿坝州、甘孜州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绵阳市、乐山市、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雅安市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320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宜宾市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凉山州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德阳市、遂宁市、</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巴中市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310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469" w:type="dxa"/>
            <w:vMerge w:val="restar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lastRenderedPageBreak/>
              <w:t>29</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贵州</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贵阳市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470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370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nil"/>
              <w:left w:val="single" w:sz="8" w:space="0" w:color="auto"/>
              <w:bottom w:val="nil"/>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46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30</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云南</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昆明市、大理州、</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丽江市、迪庆州、</w:t>
            </w:r>
          </w:p>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西双版纳州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380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31</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西藏</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拉萨市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拉萨市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530</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10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r>
      <w:tr w:rsidR="0082581D" w:rsidRPr="0082581D" w:rsidTr="0082581D">
        <w:trPr>
          <w:trHeight w:val="369"/>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32</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陕西</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西安市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460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榆林市、延安市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杨凌区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320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260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咸阳市、宝鸡市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320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260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渭南市、韩城市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260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230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33</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甘肃</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兰州市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470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310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34</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青海</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西宁市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500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西宁市</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1200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750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530</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玉树州、果洛州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玉树州</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525</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海北州、黄南州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海北州、黄南州</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525</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375</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海东市、海南州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海东市、海南州</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375</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海西州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600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7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200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海西州</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5～9月</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900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r>
      <w:tr w:rsidR="0082581D" w:rsidRPr="0082581D" w:rsidTr="0082581D">
        <w:trPr>
          <w:trHeight w:val="369"/>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35</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宁夏</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银川市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470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其他地区</w:t>
            </w:r>
          </w:p>
        </w:tc>
        <w:tc>
          <w:tcPr>
            <w:tcW w:w="70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430</w:t>
            </w:r>
          </w:p>
        </w:tc>
        <w:tc>
          <w:tcPr>
            <w:tcW w:w="70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330</w:t>
            </w:r>
          </w:p>
        </w:tc>
        <w:tc>
          <w:tcPr>
            <w:tcW w:w="145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46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24"/>
                <w:szCs w:val="24"/>
              </w:rPr>
              <w:t>36</w:t>
            </w:r>
          </w:p>
        </w:tc>
        <w:tc>
          <w:tcPr>
            <w:tcW w:w="39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b/>
                <w:bCs/>
                <w:color w:val="000000"/>
                <w:kern w:val="0"/>
                <w:sz w:val="24"/>
                <w:szCs w:val="24"/>
              </w:rPr>
              <w:t>新疆</w:t>
            </w:r>
          </w:p>
        </w:tc>
        <w:tc>
          <w:tcPr>
            <w:tcW w:w="1940"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18"/>
                <w:szCs w:val="18"/>
              </w:rPr>
              <w:t>乌鲁木齐市</w:t>
            </w:r>
          </w:p>
        </w:tc>
        <w:tc>
          <w:tcPr>
            <w:tcW w:w="708"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350</w:t>
            </w:r>
          </w:p>
        </w:tc>
        <w:tc>
          <w:tcPr>
            <w:tcW w:w="1451"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878"/>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石河子市、克拉玛依市、昌吉州、伊犁州、阿勒泰地区、博州、吐鲁番市、哈密地区、巴州、和田地区</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340</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克州</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800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320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喀什地区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480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阿克苏地区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450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r w:rsidR="0082581D" w:rsidRPr="0082581D" w:rsidTr="0082581D">
        <w:trPr>
          <w:trHeight w:val="369"/>
          <w:jc w:val="center"/>
        </w:trPr>
        <w:tc>
          <w:tcPr>
            <w:tcW w:w="0" w:type="auto"/>
            <w:vMerge/>
            <w:tcBorders>
              <w:top w:val="nil"/>
              <w:left w:val="single" w:sz="8" w:space="0" w:color="auto"/>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82581D" w:rsidRPr="0082581D" w:rsidRDefault="0082581D" w:rsidP="0082581D">
            <w:pPr>
              <w:widowControl/>
              <w:jc w:val="left"/>
              <w:rPr>
                <w:rFonts w:ascii="宋体" w:eastAsia="宋体" w:hAnsi="宋体" w:cs="宋体"/>
                <w:kern w:val="0"/>
                <w:sz w:val="24"/>
                <w:szCs w:val="24"/>
              </w:rPr>
            </w:pPr>
          </w:p>
        </w:tc>
        <w:tc>
          <w:tcPr>
            <w:tcW w:w="1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塔城地区</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700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400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color w:val="000000"/>
                <w:kern w:val="0"/>
                <w:sz w:val="18"/>
                <w:szCs w:val="18"/>
              </w:rPr>
              <w:t>300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c>
          <w:tcPr>
            <w:tcW w:w="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2581D" w:rsidRPr="0082581D" w:rsidRDefault="0082581D" w:rsidP="0082581D">
            <w:pPr>
              <w:widowControl/>
              <w:spacing w:line="640" w:lineRule="atLeast"/>
              <w:jc w:val="center"/>
              <w:rPr>
                <w:rFonts w:ascii="宋体" w:eastAsia="宋体" w:hAnsi="宋体" w:cs="宋体"/>
                <w:kern w:val="0"/>
                <w:sz w:val="24"/>
                <w:szCs w:val="24"/>
              </w:rPr>
            </w:pPr>
            <w:r w:rsidRPr="0082581D">
              <w:rPr>
                <w:rFonts w:ascii="宋体" w:eastAsia="宋体" w:hAnsi="宋体" w:cs="宋体"/>
                <w:kern w:val="0"/>
                <w:sz w:val="24"/>
                <w:szCs w:val="24"/>
              </w:rPr>
              <w:t> </w:t>
            </w:r>
          </w:p>
        </w:tc>
      </w:tr>
    </w:tbl>
    <w:p w:rsidR="00E62D91" w:rsidRDefault="00E62D91">
      <w:bookmarkStart w:id="1" w:name="_GoBack"/>
      <w:bookmarkEnd w:id="1"/>
    </w:p>
    <w:sectPr w:rsidR="00E62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16"/>
    <w:rsid w:val="000E6616"/>
    <w:rsid w:val="0082581D"/>
    <w:rsid w:val="00E6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9384E-CFDF-442D-9297-7A1FE3BD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2581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2581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2581D"/>
    <w:rPr>
      <w:color w:val="0000FF"/>
      <w:u w:val="single"/>
    </w:rPr>
  </w:style>
  <w:style w:type="character" w:styleId="a5">
    <w:name w:val="FollowedHyperlink"/>
    <w:basedOn w:val="a0"/>
    <w:uiPriority w:val="99"/>
    <w:semiHidden/>
    <w:unhideWhenUsed/>
    <w:rsid w:val="008258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969321">
      <w:bodyDiv w:val="1"/>
      <w:marLeft w:val="0"/>
      <w:marRight w:val="0"/>
      <w:marTop w:val="0"/>
      <w:marBottom w:val="0"/>
      <w:divBdr>
        <w:top w:val="none" w:sz="0" w:space="0" w:color="auto"/>
        <w:left w:val="none" w:sz="0" w:space="0" w:color="auto"/>
        <w:bottom w:val="none" w:sz="0" w:space="0" w:color="auto"/>
        <w:right w:val="none" w:sz="0" w:space="0" w:color="auto"/>
      </w:divBdr>
      <w:divsChild>
        <w:div w:id="1966081894">
          <w:marLeft w:val="0"/>
          <w:marRight w:val="0"/>
          <w:marTop w:val="0"/>
          <w:marBottom w:val="0"/>
          <w:divBdr>
            <w:top w:val="none" w:sz="0" w:space="0" w:color="auto"/>
            <w:left w:val="none" w:sz="0" w:space="0" w:color="auto"/>
            <w:bottom w:val="none" w:sz="0" w:space="0" w:color="auto"/>
            <w:right w:val="none" w:sz="0" w:space="0" w:color="auto"/>
          </w:divBdr>
        </w:div>
        <w:div w:id="1665544258">
          <w:marLeft w:val="0"/>
          <w:marRight w:val="0"/>
          <w:marTop w:val="0"/>
          <w:marBottom w:val="0"/>
          <w:divBdr>
            <w:top w:val="none" w:sz="0" w:space="0" w:color="auto"/>
            <w:left w:val="none" w:sz="0" w:space="0" w:color="auto"/>
            <w:bottom w:val="none" w:sz="0" w:space="0" w:color="auto"/>
            <w:right w:val="none" w:sz="0" w:space="0" w:color="auto"/>
          </w:divBdr>
        </w:div>
        <w:div w:id="1816335028">
          <w:marLeft w:val="0"/>
          <w:marRight w:val="0"/>
          <w:marTop w:val="0"/>
          <w:marBottom w:val="0"/>
          <w:divBdr>
            <w:top w:val="none" w:sz="0" w:space="0" w:color="auto"/>
            <w:left w:val="none" w:sz="0" w:space="0" w:color="auto"/>
            <w:bottom w:val="none" w:sz="0" w:space="0" w:color="auto"/>
            <w:right w:val="none" w:sz="0" w:space="0" w:color="auto"/>
          </w:divBdr>
        </w:div>
        <w:div w:id="445662651">
          <w:marLeft w:val="0"/>
          <w:marRight w:val="0"/>
          <w:marTop w:val="0"/>
          <w:marBottom w:val="0"/>
          <w:divBdr>
            <w:top w:val="none" w:sz="0" w:space="0" w:color="auto"/>
            <w:left w:val="none" w:sz="0" w:space="0" w:color="auto"/>
            <w:bottom w:val="none" w:sz="0" w:space="0" w:color="auto"/>
            <w:right w:val="none" w:sz="0" w:space="0" w:color="auto"/>
          </w:divBdr>
        </w:div>
        <w:div w:id="767845127">
          <w:marLeft w:val="0"/>
          <w:marRight w:val="0"/>
          <w:marTop w:val="0"/>
          <w:marBottom w:val="0"/>
          <w:divBdr>
            <w:top w:val="none" w:sz="0" w:space="0" w:color="auto"/>
            <w:left w:val="none" w:sz="0" w:space="0" w:color="auto"/>
            <w:bottom w:val="none" w:sz="0" w:space="0" w:color="auto"/>
            <w:right w:val="none" w:sz="0" w:space="0" w:color="auto"/>
          </w:divBdr>
        </w:div>
        <w:div w:id="2040007314">
          <w:marLeft w:val="0"/>
          <w:marRight w:val="0"/>
          <w:marTop w:val="0"/>
          <w:marBottom w:val="0"/>
          <w:divBdr>
            <w:top w:val="none" w:sz="0" w:space="0" w:color="auto"/>
            <w:left w:val="none" w:sz="0" w:space="0" w:color="auto"/>
            <w:bottom w:val="none" w:sz="0" w:space="0" w:color="auto"/>
            <w:right w:val="none" w:sz="0" w:space="0" w:color="auto"/>
          </w:divBdr>
        </w:div>
        <w:div w:id="170490481">
          <w:marLeft w:val="0"/>
          <w:marRight w:val="0"/>
          <w:marTop w:val="0"/>
          <w:marBottom w:val="0"/>
          <w:divBdr>
            <w:top w:val="none" w:sz="0" w:space="0" w:color="auto"/>
            <w:left w:val="none" w:sz="0" w:space="0" w:color="auto"/>
            <w:bottom w:val="none" w:sz="0" w:space="0" w:color="auto"/>
            <w:right w:val="none" w:sz="0" w:space="0" w:color="auto"/>
          </w:divBdr>
        </w:div>
        <w:div w:id="1570187651">
          <w:marLeft w:val="0"/>
          <w:marRight w:val="0"/>
          <w:marTop w:val="0"/>
          <w:marBottom w:val="0"/>
          <w:divBdr>
            <w:top w:val="none" w:sz="0" w:space="0" w:color="auto"/>
            <w:left w:val="none" w:sz="0" w:space="0" w:color="auto"/>
            <w:bottom w:val="none" w:sz="0" w:space="0" w:color="auto"/>
            <w:right w:val="none" w:sz="0" w:space="0" w:color="auto"/>
          </w:divBdr>
        </w:div>
        <w:div w:id="314725259">
          <w:marLeft w:val="0"/>
          <w:marRight w:val="0"/>
          <w:marTop w:val="0"/>
          <w:marBottom w:val="0"/>
          <w:divBdr>
            <w:top w:val="none" w:sz="0" w:space="0" w:color="auto"/>
            <w:left w:val="none" w:sz="0" w:space="0" w:color="auto"/>
            <w:bottom w:val="none" w:sz="0" w:space="0" w:color="auto"/>
            <w:right w:val="none" w:sz="0" w:space="0" w:color="auto"/>
          </w:divBdr>
        </w:div>
        <w:div w:id="229969303">
          <w:marLeft w:val="0"/>
          <w:marRight w:val="0"/>
          <w:marTop w:val="0"/>
          <w:marBottom w:val="0"/>
          <w:divBdr>
            <w:top w:val="none" w:sz="0" w:space="0" w:color="auto"/>
            <w:left w:val="none" w:sz="0" w:space="0" w:color="auto"/>
            <w:bottom w:val="none" w:sz="0" w:space="0" w:color="auto"/>
            <w:right w:val="none" w:sz="0" w:space="0" w:color="auto"/>
          </w:divBdr>
        </w:div>
        <w:div w:id="1642884179">
          <w:marLeft w:val="0"/>
          <w:marRight w:val="0"/>
          <w:marTop w:val="0"/>
          <w:marBottom w:val="0"/>
          <w:divBdr>
            <w:top w:val="none" w:sz="0" w:space="0" w:color="auto"/>
            <w:left w:val="none" w:sz="0" w:space="0" w:color="auto"/>
            <w:bottom w:val="none" w:sz="0" w:space="0" w:color="auto"/>
            <w:right w:val="none" w:sz="0" w:space="0" w:color="auto"/>
          </w:divBdr>
        </w:div>
        <w:div w:id="1433479541">
          <w:marLeft w:val="0"/>
          <w:marRight w:val="0"/>
          <w:marTop w:val="0"/>
          <w:marBottom w:val="0"/>
          <w:divBdr>
            <w:top w:val="none" w:sz="0" w:space="0" w:color="auto"/>
            <w:left w:val="none" w:sz="0" w:space="0" w:color="auto"/>
            <w:bottom w:val="none" w:sz="0" w:space="0" w:color="auto"/>
            <w:right w:val="none" w:sz="0" w:space="0" w:color="auto"/>
          </w:divBdr>
        </w:div>
        <w:div w:id="259414339">
          <w:marLeft w:val="0"/>
          <w:marRight w:val="0"/>
          <w:marTop w:val="0"/>
          <w:marBottom w:val="0"/>
          <w:divBdr>
            <w:top w:val="none" w:sz="0" w:space="0" w:color="auto"/>
            <w:left w:val="none" w:sz="0" w:space="0" w:color="auto"/>
            <w:bottom w:val="none" w:sz="0" w:space="0" w:color="auto"/>
            <w:right w:val="none" w:sz="0" w:space="0" w:color="auto"/>
          </w:divBdr>
        </w:div>
        <w:div w:id="1990861098">
          <w:marLeft w:val="0"/>
          <w:marRight w:val="0"/>
          <w:marTop w:val="0"/>
          <w:marBottom w:val="0"/>
          <w:divBdr>
            <w:top w:val="none" w:sz="0" w:space="0" w:color="auto"/>
            <w:left w:val="none" w:sz="0" w:space="0" w:color="auto"/>
            <w:bottom w:val="none" w:sz="0" w:space="0" w:color="auto"/>
            <w:right w:val="none" w:sz="0" w:space="0" w:color="auto"/>
          </w:divBdr>
        </w:div>
        <w:div w:id="1667245022">
          <w:marLeft w:val="0"/>
          <w:marRight w:val="0"/>
          <w:marTop w:val="0"/>
          <w:marBottom w:val="0"/>
          <w:divBdr>
            <w:top w:val="none" w:sz="0" w:space="0" w:color="auto"/>
            <w:left w:val="none" w:sz="0" w:space="0" w:color="auto"/>
            <w:bottom w:val="none" w:sz="0" w:space="0" w:color="auto"/>
            <w:right w:val="none" w:sz="0" w:space="0" w:color="auto"/>
          </w:divBdr>
        </w:div>
        <w:div w:id="161363295">
          <w:marLeft w:val="0"/>
          <w:marRight w:val="0"/>
          <w:marTop w:val="0"/>
          <w:marBottom w:val="0"/>
          <w:divBdr>
            <w:top w:val="none" w:sz="0" w:space="0" w:color="auto"/>
            <w:left w:val="none" w:sz="0" w:space="0" w:color="auto"/>
            <w:bottom w:val="none" w:sz="0" w:space="0" w:color="auto"/>
            <w:right w:val="none" w:sz="0" w:space="0" w:color="auto"/>
          </w:divBdr>
        </w:div>
        <w:div w:id="42102597">
          <w:marLeft w:val="0"/>
          <w:marRight w:val="0"/>
          <w:marTop w:val="0"/>
          <w:marBottom w:val="0"/>
          <w:divBdr>
            <w:top w:val="none" w:sz="0" w:space="0" w:color="auto"/>
            <w:left w:val="none" w:sz="0" w:space="0" w:color="auto"/>
            <w:bottom w:val="none" w:sz="0" w:space="0" w:color="auto"/>
            <w:right w:val="none" w:sz="0" w:space="0" w:color="auto"/>
          </w:divBdr>
        </w:div>
        <w:div w:id="128060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fo.fzu.edu.cn/upload/file/201711101614033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1126</Words>
  <Characters>6423</Characters>
  <Application>Microsoft Office Word</Application>
  <DocSecurity>0</DocSecurity>
  <Lines>53</Lines>
  <Paragraphs>15</Paragraphs>
  <ScaleCrop>false</ScaleCrop>
  <Company>Microsoft</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2017-11-30T02:38:00Z</dcterms:created>
  <dcterms:modified xsi:type="dcterms:W3CDTF">2017-11-30T02:38:00Z</dcterms:modified>
</cp:coreProperties>
</file>