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tblCellMar>
          <w:left w:w="0" w:type="dxa"/>
          <w:right w:w="0" w:type="dxa"/>
        </w:tblCellMar>
        <w:tblLook w:val="04A0"/>
      </w:tblPr>
      <w:tblGrid>
        <w:gridCol w:w="8306"/>
      </w:tblGrid>
      <w:tr w:rsidR="00590F20" w:rsidRPr="00590F20">
        <w:trPr>
          <w:tblCellSpacing w:w="0" w:type="dxa"/>
          <w:jc w:val="center"/>
        </w:trPr>
        <w:tc>
          <w:tcPr>
            <w:tcW w:w="0" w:type="auto"/>
            <w:tcMar>
              <w:top w:w="30" w:type="dxa"/>
              <w:left w:w="0" w:type="dxa"/>
              <w:bottom w:w="150" w:type="dxa"/>
              <w:right w:w="0" w:type="dxa"/>
            </w:tcMar>
            <w:vAlign w:val="center"/>
            <w:hideMark/>
          </w:tcPr>
          <w:p w:rsidR="00590F20" w:rsidRPr="00590F20" w:rsidRDefault="00590F20" w:rsidP="00590F20">
            <w:pPr>
              <w:widowControl/>
              <w:spacing w:line="360" w:lineRule="auto"/>
              <w:jc w:val="center"/>
              <w:rPr>
                <w:rFonts w:ascii="ˎ̥" w:eastAsia="宋体" w:hAnsi="ˎ̥" w:cs="Arial"/>
                <w:b/>
                <w:bCs/>
                <w:color w:val="093A96"/>
                <w:kern w:val="0"/>
                <w:sz w:val="33"/>
                <w:szCs w:val="33"/>
              </w:rPr>
            </w:pPr>
            <w:r w:rsidRPr="00590F20">
              <w:rPr>
                <w:rFonts w:ascii="ˎ̥" w:eastAsia="宋体" w:hAnsi="ˎ̥" w:cs="Arial"/>
                <w:b/>
                <w:bCs/>
                <w:color w:val="093A96"/>
                <w:kern w:val="0"/>
                <w:sz w:val="33"/>
                <w:szCs w:val="33"/>
              </w:rPr>
              <w:t>《易制毒化学品管理条例》（国务院令第</w:t>
            </w:r>
            <w:r w:rsidRPr="00590F20">
              <w:rPr>
                <w:rFonts w:ascii="ˎ̥" w:eastAsia="宋体" w:hAnsi="ˎ̥" w:cs="Arial"/>
                <w:b/>
                <w:bCs/>
                <w:color w:val="093A96"/>
                <w:kern w:val="0"/>
                <w:sz w:val="33"/>
                <w:szCs w:val="33"/>
              </w:rPr>
              <w:t>445</w:t>
            </w:r>
            <w:r w:rsidRPr="00590F20">
              <w:rPr>
                <w:rFonts w:ascii="ˎ̥" w:eastAsia="宋体" w:hAnsi="ˎ̥" w:cs="Arial"/>
                <w:b/>
                <w:bCs/>
                <w:color w:val="093A96"/>
                <w:kern w:val="0"/>
                <w:sz w:val="33"/>
                <w:szCs w:val="33"/>
              </w:rPr>
              <w:t>号）</w:t>
            </w:r>
            <w:r w:rsidRPr="00590F20">
              <w:rPr>
                <w:rFonts w:ascii="ˎ̥" w:eastAsia="宋体" w:hAnsi="ˎ̥" w:cs="Arial"/>
                <w:b/>
                <w:bCs/>
                <w:color w:val="093A96"/>
                <w:kern w:val="0"/>
                <w:sz w:val="33"/>
                <w:szCs w:val="33"/>
              </w:rPr>
              <w:t xml:space="preserve"> </w:t>
            </w:r>
          </w:p>
        </w:tc>
      </w:tr>
      <w:tr w:rsidR="00590F20" w:rsidRPr="00590F20">
        <w:trPr>
          <w:tblCellSpacing w:w="0" w:type="dxa"/>
          <w:jc w:val="center"/>
        </w:trPr>
        <w:tc>
          <w:tcPr>
            <w:tcW w:w="0" w:type="auto"/>
            <w:vAlign w:val="center"/>
            <w:hideMark/>
          </w:tcPr>
          <w:p w:rsidR="00590F20" w:rsidRPr="00590F20" w:rsidRDefault="00590F20" w:rsidP="00590F20">
            <w:pPr>
              <w:widowControl/>
              <w:spacing w:line="480" w:lineRule="auto"/>
              <w:jc w:val="center"/>
              <w:rPr>
                <w:rFonts w:ascii="ˎ̥" w:eastAsia="宋体" w:hAnsi="ˎ̥" w:cs="Arial"/>
                <w:b/>
                <w:bCs/>
                <w:color w:val="093A96"/>
                <w:kern w:val="0"/>
                <w:sz w:val="27"/>
                <w:szCs w:val="27"/>
              </w:rPr>
            </w:pPr>
          </w:p>
        </w:tc>
      </w:tr>
      <w:tr w:rsidR="00590F20" w:rsidRPr="00590F20">
        <w:trPr>
          <w:tblCellSpacing w:w="0" w:type="dxa"/>
          <w:jc w:val="center"/>
        </w:trPr>
        <w:tc>
          <w:tcPr>
            <w:tcW w:w="0" w:type="auto"/>
            <w:vAlign w:val="center"/>
            <w:hideMark/>
          </w:tcPr>
          <w:p w:rsidR="00590F20" w:rsidRPr="00590F20" w:rsidRDefault="00590F20" w:rsidP="00590F20">
            <w:pPr>
              <w:widowControl/>
              <w:spacing w:line="408" w:lineRule="auto"/>
              <w:jc w:val="right"/>
              <w:rPr>
                <w:rFonts w:ascii="ˎ̥" w:eastAsia="宋体" w:hAnsi="ˎ̥" w:cs="Arial"/>
                <w:kern w:val="0"/>
                <w:sz w:val="18"/>
                <w:szCs w:val="18"/>
              </w:rPr>
            </w:pPr>
          </w:p>
        </w:tc>
      </w:tr>
      <w:tr w:rsidR="00590F20" w:rsidRPr="00590F20">
        <w:trPr>
          <w:tblCellSpacing w:w="0" w:type="dxa"/>
          <w:jc w:val="center"/>
        </w:trPr>
        <w:tc>
          <w:tcPr>
            <w:tcW w:w="0" w:type="auto"/>
            <w:tcMar>
              <w:top w:w="120" w:type="dxa"/>
              <w:left w:w="0" w:type="dxa"/>
              <w:bottom w:w="0" w:type="dxa"/>
              <w:right w:w="0" w:type="dxa"/>
            </w:tcMar>
            <w:vAlign w:val="center"/>
            <w:hideMark/>
          </w:tcPr>
          <w:p w:rsidR="00590F20" w:rsidRPr="00590F20" w:rsidRDefault="00590F20" w:rsidP="00590F20">
            <w:pPr>
              <w:widowControl/>
              <w:spacing w:line="360" w:lineRule="auto"/>
              <w:jc w:val="right"/>
              <w:rPr>
                <w:rFonts w:ascii="ˎ̥" w:eastAsia="宋体" w:hAnsi="ˎ̥" w:cs="Arial"/>
                <w:color w:val="919191"/>
                <w:kern w:val="0"/>
                <w:szCs w:val="21"/>
              </w:rPr>
            </w:pPr>
            <w:r w:rsidRPr="00590F20">
              <w:rPr>
                <w:rFonts w:ascii="ˎ̥" w:eastAsia="宋体" w:hAnsi="ˎ̥" w:cs="Arial"/>
                <w:color w:val="919191"/>
                <w:kern w:val="0"/>
                <w:szCs w:val="21"/>
              </w:rPr>
              <w:t>2005</w:t>
            </w:r>
            <w:r w:rsidRPr="00590F20">
              <w:rPr>
                <w:rFonts w:ascii="ˎ̥" w:eastAsia="宋体" w:hAnsi="ˎ̥" w:cs="Arial"/>
                <w:color w:val="919191"/>
                <w:kern w:val="0"/>
                <w:szCs w:val="21"/>
              </w:rPr>
              <w:t>年</w:t>
            </w:r>
            <w:r w:rsidRPr="00590F20">
              <w:rPr>
                <w:rFonts w:ascii="ˎ̥" w:eastAsia="宋体" w:hAnsi="ˎ̥" w:cs="Arial"/>
                <w:color w:val="919191"/>
                <w:kern w:val="0"/>
                <w:szCs w:val="21"/>
              </w:rPr>
              <w:t>08</w:t>
            </w:r>
            <w:r w:rsidRPr="00590F20">
              <w:rPr>
                <w:rFonts w:ascii="ˎ̥" w:eastAsia="宋体" w:hAnsi="ˎ̥" w:cs="Arial"/>
                <w:color w:val="919191"/>
                <w:kern w:val="0"/>
                <w:szCs w:val="21"/>
              </w:rPr>
              <w:t>月</w:t>
            </w:r>
            <w:r w:rsidRPr="00590F20">
              <w:rPr>
                <w:rFonts w:ascii="ˎ̥" w:eastAsia="宋体" w:hAnsi="ˎ̥" w:cs="Arial"/>
                <w:color w:val="919191"/>
                <w:kern w:val="0"/>
                <w:szCs w:val="21"/>
              </w:rPr>
              <w:t>26</w:t>
            </w:r>
            <w:r w:rsidRPr="00590F20">
              <w:rPr>
                <w:rFonts w:ascii="ˎ̥" w:eastAsia="宋体" w:hAnsi="ˎ̥" w:cs="Arial"/>
                <w:color w:val="919191"/>
                <w:kern w:val="0"/>
                <w:szCs w:val="21"/>
              </w:rPr>
              <w:t>日</w:t>
            </w:r>
            <w:r w:rsidRPr="00590F20">
              <w:rPr>
                <w:rFonts w:ascii="ˎ̥" w:eastAsia="宋体" w:hAnsi="ˎ̥" w:cs="Arial"/>
                <w:color w:val="919191"/>
                <w:kern w:val="0"/>
                <w:szCs w:val="21"/>
              </w:rPr>
              <w:t xml:space="preserve"> </w:t>
            </w:r>
            <w:r w:rsidRPr="00590F20">
              <w:rPr>
                <w:rFonts w:ascii="ˎ̥" w:eastAsia="宋体" w:hAnsi="ˎ̥" w:cs="Arial"/>
                <w:color w:val="919191"/>
                <w:kern w:val="0"/>
                <w:szCs w:val="21"/>
              </w:rPr>
              <w:t>发布</w:t>
            </w:r>
            <w:r w:rsidRPr="00590F20">
              <w:rPr>
                <w:rFonts w:ascii="ˎ̥" w:eastAsia="宋体" w:hAnsi="ˎ̥" w:cs="Arial"/>
                <w:color w:val="919191"/>
                <w:kern w:val="0"/>
                <w:szCs w:val="21"/>
              </w:rPr>
              <w:t xml:space="preserve"> </w:t>
            </w:r>
          </w:p>
        </w:tc>
      </w:tr>
      <w:tr w:rsidR="00590F20" w:rsidRPr="00590F20">
        <w:trPr>
          <w:trHeight w:val="60"/>
          <w:tblCellSpacing w:w="0" w:type="dxa"/>
          <w:jc w:val="center"/>
        </w:trPr>
        <w:tc>
          <w:tcPr>
            <w:tcW w:w="5000" w:type="pct"/>
            <w:vAlign w:val="center"/>
            <w:hideMark/>
          </w:tcPr>
          <w:p w:rsidR="00590F20" w:rsidRPr="00590F20" w:rsidRDefault="00590F20" w:rsidP="00590F20">
            <w:pPr>
              <w:widowControl/>
              <w:spacing w:line="408" w:lineRule="auto"/>
              <w:jc w:val="center"/>
              <w:rPr>
                <w:rFonts w:ascii="ˎ̥" w:eastAsia="宋体" w:hAnsi="ˎ̥" w:cs="Arial"/>
                <w:color w:val="000000"/>
                <w:kern w:val="0"/>
                <w:sz w:val="6"/>
                <w:szCs w:val="18"/>
              </w:rPr>
            </w:pPr>
          </w:p>
        </w:tc>
      </w:tr>
      <w:tr w:rsidR="00590F20" w:rsidRPr="00590F20">
        <w:trPr>
          <w:tblCellSpacing w:w="0" w:type="dxa"/>
          <w:jc w:val="center"/>
        </w:trPr>
        <w:tc>
          <w:tcPr>
            <w:tcW w:w="0" w:type="auto"/>
            <w:tcMar>
              <w:top w:w="300" w:type="dxa"/>
              <w:left w:w="0" w:type="dxa"/>
              <w:bottom w:w="0" w:type="dxa"/>
              <w:right w:w="0" w:type="dxa"/>
            </w:tcMar>
            <w:vAlign w:val="center"/>
            <w:hideMark/>
          </w:tcPr>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w:t>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中华人民共和国国务院令</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w:t>
            </w:r>
            <w:r w:rsidRPr="00590F20">
              <w:rPr>
                <w:rFonts w:ascii="ˎ̥" w:eastAsia="宋体" w:hAnsi="ˎ̥" w:cs="Arial"/>
                <w:color w:val="000000"/>
                <w:kern w:val="0"/>
                <w:szCs w:val="21"/>
              </w:rPr>
              <w:t>445</w:t>
            </w:r>
            <w:r w:rsidRPr="00590F20">
              <w:rPr>
                <w:rFonts w:ascii="ˎ̥" w:eastAsia="宋体" w:hAnsi="ˎ̥" w:cs="Arial"/>
                <w:color w:val="000000"/>
                <w:kern w:val="0"/>
                <w:szCs w:val="21"/>
              </w:rPr>
              <w:t>号</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《易制毒化学品管理条例》已经</w:t>
            </w:r>
            <w:r w:rsidRPr="00590F20">
              <w:rPr>
                <w:rFonts w:ascii="ˎ̥" w:eastAsia="宋体" w:hAnsi="ˎ̥" w:cs="Arial"/>
                <w:color w:val="000000"/>
                <w:kern w:val="0"/>
                <w:szCs w:val="21"/>
              </w:rPr>
              <w:t>2005</w:t>
            </w:r>
            <w:r w:rsidRPr="00590F20">
              <w:rPr>
                <w:rFonts w:ascii="ˎ̥" w:eastAsia="宋体" w:hAnsi="ˎ̥" w:cs="Arial"/>
                <w:color w:val="000000"/>
                <w:kern w:val="0"/>
                <w:szCs w:val="21"/>
              </w:rPr>
              <w:t>年</w:t>
            </w:r>
            <w:r w:rsidRPr="00590F20">
              <w:rPr>
                <w:rFonts w:ascii="ˎ̥" w:eastAsia="宋体" w:hAnsi="ˎ̥" w:cs="Arial"/>
                <w:color w:val="000000"/>
                <w:kern w:val="0"/>
                <w:szCs w:val="21"/>
              </w:rPr>
              <w:t>8</w:t>
            </w:r>
            <w:r w:rsidRPr="00590F20">
              <w:rPr>
                <w:rFonts w:ascii="ˎ̥" w:eastAsia="宋体" w:hAnsi="ˎ̥" w:cs="Arial"/>
                <w:color w:val="000000"/>
                <w:kern w:val="0"/>
                <w:szCs w:val="21"/>
              </w:rPr>
              <w:t>月</w:t>
            </w:r>
            <w:r w:rsidRPr="00590F20">
              <w:rPr>
                <w:rFonts w:ascii="ˎ̥" w:eastAsia="宋体" w:hAnsi="ˎ̥" w:cs="Arial"/>
                <w:color w:val="000000"/>
                <w:kern w:val="0"/>
                <w:szCs w:val="21"/>
              </w:rPr>
              <w:t>17</w:t>
            </w:r>
            <w:r w:rsidRPr="00590F20">
              <w:rPr>
                <w:rFonts w:ascii="ˎ̥" w:eastAsia="宋体" w:hAnsi="ˎ̥" w:cs="Arial"/>
                <w:color w:val="000000"/>
                <w:kern w:val="0"/>
                <w:szCs w:val="21"/>
              </w:rPr>
              <w:t>日国务院第</w:t>
            </w:r>
            <w:r w:rsidRPr="00590F20">
              <w:rPr>
                <w:rFonts w:ascii="ˎ̥" w:eastAsia="宋体" w:hAnsi="ˎ̥" w:cs="Arial"/>
                <w:color w:val="000000"/>
                <w:kern w:val="0"/>
                <w:szCs w:val="21"/>
              </w:rPr>
              <w:t>102</w:t>
            </w:r>
            <w:r w:rsidRPr="00590F20">
              <w:rPr>
                <w:rFonts w:ascii="ˎ̥" w:eastAsia="宋体" w:hAnsi="ˎ̥" w:cs="Arial"/>
                <w:color w:val="000000"/>
                <w:kern w:val="0"/>
                <w:szCs w:val="21"/>
              </w:rPr>
              <w:t>次常务会议通过，现予公布，自</w:t>
            </w:r>
            <w:r w:rsidRPr="00590F20">
              <w:rPr>
                <w:rFonts w:ascii="ˎ̥" w:eastAsia="宋体" w:hAnsi="ˎ̥" w:cs="Arial"/>
                <w:color w:val="000000"/>
                <w:kern w:val="0"/>
                <w:szCs w:val="21"/>
              </w:rPr>
              <w:t>2005</w:t>
            </w:r>
            <w:r w:rsidRPr="00590F20">
              <w:rPr>
                <w:rFonts w:ascii="ˎ̥" w:eastAsia="宋体" w:hAnsi="ˎ̥" w:cs="Arial"/>
                <w:color w:val="000000"/>
                <w:kern w:val="0"/>
                <w:szCs w:val="21"/>
              </w:rPr>
              <w:t>年</w:t>
            </w:r>
            <w:r w:rsidRPr="00590F20">
              <w:rPr>
                <w:rFonts w:ascii="ˎ̥" w:eastAsia="宋体" w:hAnsi="ˎ̥" w:cs="Arial"/>
                <w:color w:val="000000"/>
                <w:kern w:val="0"/>
                <w:szCs w:val="21"/>
              </w:rPr>
              <w:t>11</w:t>
            </w:r>
            <w:r w:rsidRPr="00590F20">
              <w:rPr>
                <w:rFonts w:ascii="ˎ̥" w:eastAsia="宋体" w:hAnsi="ˎ̥" w:cs="Arial"/>
                <w:color w:val="000000"/>
                <w:kern w:val="0"/>
                <w:szCs w:val="21"/>
              </w:rPr>
              <w:t>月</w:t>
            </w:r>
            <w:r w:rsidRPr="00590F20">
              <w:rPr>
                <w:rFonts w:ascii="ˎ̥" w:eastAsia="宋体" w:hAnsi="ˎ̥" w:cs="Arial"/>
                <w:color w:val="000000"/>
                <w:kern w:val="0"/>
                <w:szCs w:val="21"/>
              </w:rPr>
              <w:t>1</w:t>
            </w:r>
            <w:r w:rsidRPr="00590F20">
              <w:rPr>
                <w:rFonts w:ascii="ˎ̥" w:eastAsia="宋体" w:hAnsi="ˎ̥" w:cs="Arial"/>
                <w:color w:val="000000"/>
                <w:kern w:val="0"/>
                <w:szCs w:val="21"/>
              </w:rPr>
              <w:t>日起施行。</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总理　温家宝</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二</w:t>
            </w:r>
            <w:r w:rsidRPr="00590F20">
              <w:rPr>
                <w:rFonts w:ascii="ˎ̥" w:eastAsia="宋体" w:hAnsi="ˎ̥" w:cs="Arial"/>
                <w:color w:val="000000"/>
                <w:kern w:val="0"/>
                <w:szCs w:val="21"/>
              </w:rPr>
              <w:t>○○</w:t>
            </w:r>
            <w:r w:rsidRPr="00590F20">
              <w:rPr>
                <w:rFonts w:ascii="ˎ̥" w:eastAsia="宋体" w:hAnsi="ˎ̥" w:cs="Arial"/>
                <w:color w:val="000000"/>
                <w:kern w:val="0"/>
                <w:szCs w:val="21"/>
              </w:rPr>
              <w:t>五年八月二十六日</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《易制毒化学品管理条例》</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w:t>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第一章　总　则</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第一条　为了加强易制毒化学品管理，规范易制毒化学品的生产、经营、购买、运输和进口、出口行为，防止易制毒化学品被用于制造毒品，维护经济和社会秩序，制定本条例。</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第二条　国家对易制毒化学品的生产、经营、购买、运输和进口、出口实行分类管理和许可制度。</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易制毒化学品分为三类。第一类是可以用于制毒的主要原料，第二类、第三类是可以用于制毒的化学配剂。易制毒化学品的具体分类和品种，由本条例附表列示。</w:t>
            </w:r>
            <w:r w:rsidRPr="00590F20">
              <w:rPr>
                <w:rFonts w:ascii="ˎ̥" w:eastAsia="宋体" w:hAnsi="ˎ̥" w:cs="Arial"/>
                <w:color w:val="000000"/>
                <w:kern w:val="0"/>
                <w:sz w:val="18"/>
                <w:szCs w:val="18"/>
              </w:rPr>
              <w:br/>
            </w:r>
            <w:r w:rsidRPr="00590F20">
              <w:rPr>
                <w:rFonts w:ascii="ˎ̥" w:eastAsia="宋体" w:hAnsi="ˎ̥" w:cs="Arial"/>
                <w:color w:val="000000"/>
                <w:kern w:val="0"/>
                <w:szCs w:val="21"/>
              </w:rPr>
              <w:lastRenderedPageBreak/>
              <w:t xml:space="preserve">　　易制毒化学品的分类和品种需要调整的，由国务院公安部门会同国务院食品药品监督管理部门、安全生产监督管理部门、商务主管部门、卫生主管部门和海关总署提出方案，报国务院批准。</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省、自治区、直辖市人民政府认为有必要在本行政区域内调整分类或者增加本条例规定以外的品种的，应当向国务院公安部门提出，由国务院公安部门会同国务院有关行政主管部门提出方案，报国务院批准。</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第三条　国务院公安部门、食品药品监督管理部门、安全生产监督管理部门、商务主管部门、卫生主管部门、海关总署、价格主管部门、铁路主管部门、交通主管部门、工商行政管理部门、环境保护主管部门在各自的职责范围内，负责全国的易制毒化学品有关管理工作；县级以上地方各级人民政府有关行政主管部门在各自的职责范围内，负责本行政区域内的易制毒化学品有关管理工作。</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县级以上地方各级人民政府应当加强对易制毒化学品管理工作的领导，及时协调解决易制毒化学品管理工作中的问题。</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第四条　易制毒化学品的产品包装和使用说明书，应当标明产品的名称（含学名和通用名）、化学分子式和成分。</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第五条　易制毒化学品的生产、经营、购买、运输和进口、出口，除应当遵守本条例的规定外，属于药品和危险化学品的，还应当遵守法律、其他行政法规对药品和危险化学品的有关规定。</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禁止走私或者非法生产、经营、购买、转让、运输易制毒化学品。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禁止使用现金或者实物进行易制毒化学品交易。但是，个人合法购买第一类中的药品类</w:t>
            </w:r>
            <w:r w:rsidRPr="00590F20">
              <w:rPr>
                <w:rFonts w:ascii="ˎ̥" w:eastAsia="宋体" w:hAnsi="ˎ̥" w:cs="Arial"/>
                <w:color w:val="000000"/>
                <w:kern w:val="0"/>
                <w:szCs w:val="21"/>
              </w:rPr>
              <w:lastRenderedPageBreak/>
              <w:t>易制毒化学品药品制剂和第三类易制毒化学品的除外。</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生产、经营、购买、运输和进口、出口易制毒化学品的单位，应当建立单位内部易制毒化学品管理制度。</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第六条　国家鼓励向公安机关等有关行政主管部门举报涉及易制毒化学品的违法行为。接到举报的部门应当为举报者保密。对举报属实的，县级以上人民政府及有关行政主管部门应当给予奖励。</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第二章　生产、经营管理</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第七条　申请生产第一类易制毒化学品，应当具备下列条件，并经本条例第八条规定的行政主管部门审批，取得生产许可证后，方可进行生产：</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（一）属依法登记的化工产品生产企业或者药品生产企业；</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（二）有符合国家标准的生产设备、仓储设施和污染物处理设施；</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（三）有严格的安全生产管理制度和环境突发事件应急预案；</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（四）企业法定代表人和技术、管理人员具有安全生产和易制毒化学品的有关知识，无毒品犯罪记录；</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（五）法律、法规、规章规定的其他条件。</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申请生产第一类中的药品类易制毒化学品，还应当在仓储场所等重点区域设置电视监控设施以及与公安机关联网的报警装置。</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第八条　申请生产第一类中的药品类易制毒化学品的，由国务院食品药品监督管理部门审批；申请生产第一类中的非药品类易制毒化学品的，由省、自治区、直辖市人民政府安全</w:t>
            </w:r>
            <w:r w:rsidRPr="00590F20">
              <w:rPr>
                <w:rFonts w:ascii="ˎ̥" w:eastAsia="宋体" w:hAnsi="ˎ̥" w:cs="Arial"/>
                <w:color w:val="000000"/>
                <w:kern w:val="0"/>
                <w:szCs w:val="21"/>
              </w:rPr>
              <w:lastRenderedPageBreak/>
              <w:t>生产监督管理部门审批。</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前款规定的行政主管部门应当自收到申请之日起</w:t>
            </w:r>
            <w:r w:rsidRPr="00590F20">
              <w:rPr>
                <w:rFonts w:ascii="ˎ̥" w:eastAsia="宋体" w:hAnsi="ˎ̥" w:cs="Arial"/>
                <w:color w:val="000000"/>
                <w:kern w:val="0"/>
                <w:szCs w:val="21"/>
              </w:rPr>
              <w:t>60</w:t>
            </w:r>
            <w:r w:rsidRPr="00590F20">
              <w:rPr>
                <w:rFonts w:ascii="ˎ̥" w:eastAsia="宋体" w:hAnsi="ˎ̥" w:cs="Arial"/>
                <w:color w:val="000000"/>
                <w:kern w:val="0"/>
                <w:szCs w:val="21"/>
              </w:rPr>
              <w:t>日内，对申请人提交的申请材料进行审查。对符合规定的，发给生产许可证，或者在企业已经取得的有关生产许可证件上标注；不予许可的，应当书面说明理由。</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审查第一类易制毒化学品生产许可申请材料时，根据需要，可以进行实地核查和专家评审。</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第九条　申请经营第一类易制毒化学品，应当具备下列条件，并经本条例第十条规定的行政主管部门审批，取得经营许可证后，方可进行经营：</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（一）属依法登记的化工产品经营企业或者药品经营企业；</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（二）有符合国家规定的经营场所，需要储存、保管易制毒化学品的，还应当有符合国家技术标准的仓储设施；</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（三）有易制毒化学品的经营管理制度和健全的销售网络；</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（四）企业法定代表人和销售、管理人员具有易制毒化学品的有关知识，无毒品犯罪记录；</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（五）法律、法规、规章规定的其他条件。</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第十条　申请经营第一类中的药品类易制毒化学品的，由国务院食品药品监督管理部门审批；申请经营第一类中的非药品类易制毒化学品的，由省、自治区、直辖市人民政府安全生产监督管理部门审批。</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前款规定的行政主管部门应当自收到申请之日起</w:t>
            </w:r>
            <w:r w:rsidRPr="00590F20">
              <w:rPr>
                <w:rFonts w:ascii="ˎ̥" w:eastAsia="宋体" w:hAnsi="ˎ̥" w:cs="Arial"/>
                <w:color w:val="000000"/>
                <w:kern w:val="0"/>
                <w:szCs w:val="21"/>
              </w:rPr>
              <w:t>30</w:t>
            </w:r>
            <w:r w:rsidRPr="00590F20">
              <w:rPr>
                <w:rFonts w:ascii="ˎ̥" w:eastAsia="宋体" w:hAnsi="ˎ̥" w:cs="Arial"/>
                <w:color w:val="000000"/>
                <w:kern w:val="0"/>
                <w:szCs w:val="21"/>
              </w:rPr>
              <w:t>日内，对申请人提交的申请材料进行审查。对符合规定的，发给经营许可证，或者在企业已经取得的有关经营许可证件上标注；</w:t>
            </w:r>
            <w:r w:rsidRPr="00590F20">
              <w:rPr>
                <w:rFonts w:ascii="ˎ̥" w:eastAsia="宋体" w:hAnsi="ˎ̥" w:cs="Arial"/>
                <w:color w:val="000000"/>
                <w:kern w:val="0"/>
                <w:szCs w:val="21"/>
              </w:rPr>
              <w:lastRenderedPageBreak/>
              <w:t>不予许可的，应当书面说明理由。</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审查第一类易制毒化学品经营许可申请材料时，根据需要，可以进行实地核查。</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第十一条　取得第一类易制毒化学品生产许可或者依照本条例第十三条第一款规定已经履行第二类、第三类易制毒化学品备案手续的生产企业，可以经销自产的易制毒化学品。但是，在厂外设立销售网点经销第一类易制毒化学品的，应当依照本条例的规定取得经营许可。</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第一类中的药品类易制毒化学品药品单方制剂，由麻醉药品定点经营企业经销，且不得零售。</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第十二条　取得第一类易制毒化学品生产、经营许可的企业，应当凭生产、经营许可证到工商行政管理部门办理经营范围变更登记。未经变更登记，不得进行第一类易制毒化学品的生产、经营。</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第一类易制毒化学品生产、经营许可证被依法吊销的，行政主管部门应当自作出吊销决定之日起</w:t>
            </w:r>
            <w:r w:rsidRPr="00590F20">
              <w:rPr>
                <w:rFonts w:ascii="ˎ̥" w:eastAsia="宋体" w:hAnsi="ˎ̥" w:cs="Arial"/>
                <w:color w:val="000000"/>
                <w:kern w:val="0"/>
                <w:szCs w:val="21"/>
              </w:rPr>
              <w:t>5</w:t>
            </w:r>
            <w:r w:rsidRPr="00590F20">
              <w:rPr>
                <w:rFonts w:ascii="ˎ̥" w:eastAsia="宋体" w:hAnsi="ˎ̥" w:cs="Arial"/>
                <w:color w:val="000000"/>
                <w:kern w:val="0"/>
                <w:szCs w:val="21"/>
              </w:rPr>
              <w:t>日内通知工商行政管理部门；被吊销许可证的企业，应当及时到工商行政管理部门办理经营范围变更或者企业注销登记。</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第十三条　生产第二类、第三类易制毒化学品的，应当自生产之日起</w:t>
            </w:r>
            <w:r w:rsidRPr="00590F20">
              <w:rPr>
                <w:rFonts w:ascii="ˎ̥" w:eastAsia="宋体" w:hAnsi="ˎ̥" w:cs="Arial"/>
                <w:color w:val="000000"/>
                <w:kern w:val="0"/>
                <w:szCs w:val="21"/>
              </w:rPr>
              <w:t>30</w:t>
            </w:r>
            <w:r w:rsidRPr="00590F20">
              <w:rPr>
                <w:rFonts w:ascii="ˎ̥" w:eastAsia="宋体" w:hAnsi="ˎ̥" w:cs="Arial"/>
                <w:color w:val="000000"/>
                <w:kern w:val="0"/>
                <w:szCs w:val="21"/>
              </w:rPr>
              <w:t>日内，将生产的品种、数量等情况，向所在地的设区的市级人民政府安全生产监督管理部门备案。</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经营第二类易制毒化学品的，应当自经营之日起</w:t>
            </w:r>
            <w:r w:rsidRPr="00590F20">
              <w:rPr>
                <w:rFonts w:ascii="ˎ̥" w:eastAsia="宋体" w:hAnsi="ˎ̥" w:cs="Arial"/>
                <w:color w:val="000000"/>
                <w:kern w:val="0"/>
                <w:szCs w:val="21"/>
              </w:rPr>
              <w:t>30</w:t>
            </w:r>
            <w:r w:rsidRPr="00590F20">
              <w:rPr>
                <w:rFonts w:ascii="ˎ̥" w:eastAsia="宋体" w:hAnsi="ˎ̥" w:cs="Arial"/>
                <w:color w:val="000000"/>
                <w:kern w:val="0"/>
                <w:szCs w:val="21"/>
              </w:rPr>
              <w:t>日内，将经营的品种、数量、主要流向等情况，向所在地的设区的市级人民政府安全生产监督管理部门备案；经营第三类易制毒化学品的，应当自经营之日起</w:t>
            </w:r>
            <w:r w:rsidRPr="00590F20">
              <w:rPr>
                <w:rFonts w:ascii="ˎ̥" w:eastAsia="宋体" w:hAnsi="ˎ̥" w:cs="Arial"/>
                <w:color w:val="000000"/>
                <w:kern w:val="0"/>
                <w:szCs w:val="21"/>
              </w:rPr>
              <w:t>30</w:t>
            </w:r>
            <w:r w:rsidRPr="00590F20">
              <w:rPr>
                <w:rFonts w:ascii="ˎ̥" w:eastAsia="宋体" w:hAnsi="ˎ̥" w:cs="Arial"/>
                <w:color w:val="000000"/>
                <w:kern w:val="0"/>
                <w:szCs w:val="21"/>
              </w:rPr>
              <w:t>日内，将经营的品种、数量、主要流向等情况，向所在地的县级人民政府安全生产监督管理部门备案。</w:t>
            </w:r>
            <w:r w:rsidRPr="00590F20">
              <w:rPr>
                <w:rFonts w:ascii="ˎ̥" w:eastAsia="宋体" w:hAnsi="ˎ̥" w:cs="Arial"/>
                <w:color w:val="000000"/>
                <w:kern w:val="0"/>
                <w:sz w:val="18"/>
                <w:szCs w:val="18"/>
              </w:rPr>
              <w:br/>
            </w:r>
            <w:r w:rsidRPr="00590F20">
              <w:rPr>
                <w:rFonts w:ascii="ˎ̥" w:eastAsia="宋体" w:hAnsi="ˎ̥" w:cs="Arial"/>
                <w:color w:val="000000"/>
                <w:kern w:val="0"/>
                <w:szCs w:val="21"/>
              </w:rPr>
              <w:lastRenderedPageBreak/>
              <w:t xml:space="preserve">　　前两款规定的行政主管部门应当于收到备案材料的当日发给备案证明。</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第三章　购买管理</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第十四条　申请购买第一类易制毒化学品，应当提交下列证件，经本条例第十五条规定的行政主管部门审批，取得购买许可证：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（一）经营企业提交企业营业执照和合法使用需要证明；</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（二）其他组织提交登记证书（成立批准文件）和合法使用需要证明。</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第十五条　申请购买第一类中的药品类易制毒化学品的，由所在地的省、自治区、直辖市人民政府食品药品监督管理部门审批；申请购买第一类中的非药品类易制毒化学品的，由所在地的省、自治区、直辖市人民政府公安机关审批。</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前款规定的行政主管部门应当自收到申请之日起</w:t>
            </w:r>
            <w:r w:rsidRPr="00590F20">
              <w:rPr>
                <w:rFonts w:ascii="ˎ̥" w:eastAsia="宋体" w:hAnsi="ˎ̥" w:cs="Arial"/>
                <w:color w:val="000000"/>
                <w:kern w:val="0"/>
                <w:szCs w:val="21"/>
              </w:rPr>
              <w:t>10</w:t>
            </w:r>
            <w:r w:rsidRPr="00590F20">
              <w:rPr>
                <w:rFonts w:ascii="ˎ̥" w:eastAsia="宋体" w:hAnsi="ˎ̥" w:cs="Arial"/>
                <w:color w:val="000000"/>
                <w:kern w:val="0"/>
                <w:szCs w:val="21"/>
              </w:rPr>
              <w:t>日内，对申请人提交的申请材料和证件进行审查。对符合规定的，发给购买许可证；不予许可的，应当书面说明理由。</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审查第一类易制毒化学品购买许可申请材料时，根据需要，可以进行实地核查。</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第十六条　持有麻醉药品、第一类精神药品购买印鉴卡的医疗机构购买第一类中的药品类易制毒化学品的，无须申请第一类易制毒化学品购买许可证。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个人不得购买第一类、第二类易制毒化学品。</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第十七条　购买第二类、第三类易制毒化学品的，应当在购买前将所需购买的品种、数量，向所在地的县级人民政府公安机关备案。个人自用购买少量高锰酸钾的，无须备案。</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第十八条　经营单位销售第一类易制毒化学品时，应当查验购买许可证和经办人的身份</w:t>
            </w:r>
            <w:r w:rsidRPr="00590F20">
              <w:rPr>
                <w:rFonts w:ascii="ˎ̥" w:eastAsia="宋体" w:hAnsi="ˎ̥" w:cs="Arial"/>
                <w:color w:val="000000"/>
                <w:kern w:val="0"/>
                <w:szCs w:val="21"/>
              </w:rPr>
              <w:lastRenderedPageBreak/>
              <w:t>证明。对委托代购的，还应当查验购买人持有的委托文书。</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经营单位在查验无误、留存上述证明材料的复印件后，方可出售第一类易制毒化学品；发现可疑情况的，应当立即向当地公安机关报告。</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第十九条　经营单位应当建立易制毒化学品销售台账，如实记录销售的品种、数量、日期、购买方等情况。销售台账和证明材料复印件应当保存</w:t>
            </w:r>
            <w:r w:rsidRPr="00590F20">
              <w:rPr>
                <w:rFonts w:ascii="ˎ̥" w:eastAsia="宋体" w:hAnsi="ˎ̥" w:cs="Arial"/>
                <w:color w:val="000000"/>
                <w:kern w:val="0"/>
                <w:szCs w:val="21"/>
              </w:rPr>
              <w:t>2</w:t>
            </w:r>
            <w:r w:rsidRPr="00590F20">
              <w:rPr>
                <w:rFonts w:ascii="ˎ̥" w:eastAsia="宋体" w:hAnsi="ˎ̥" w:cs="Arial"/>
                <w:color w:val="000000"/>
                <w:kern w:val="0"/>
                <w:szCs w:val="21"/>
              </w:rPr>
              <w:t>年备查。</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第一类易制毒化学品的销售情况，应当自销售之日起</w:t>
            </w:r>
            <w:r w:rsidRPr="00590F20">
              <w:rPr>
                <w:rFonts w:ascii="ˎ̥" w:eastAsia="宋体" w:hAnsi="ˎ̥" w:cs="Arial"/>
                <w:color w:val="000000"/>
                <w:kern w:val="0"/>
                <w:szCs w:val="21"/>
              </w:rPr>
              <w:t>5</w:t>
            </w:r>
            <w:r w:rsidRPr="00590F20">
              <w:rPr>
                <w:rFonts w:ascii="ˎ̥" w:eastAsia="宋体" w:hAnsi="ˎ̥" w:cs="Arial"/>
                <w:color w:val="000000"/>
                <w:kern w:val="0"/>
                <w:szCs w:val="21"/>
              </w:rPr>
              <w:t>日内报当地公安机关备案；第一类易制毒化学品的使用单位，应当建立使用台账，并保存</w:t>
            </w:r>
            <w:r w:rsidRPr="00590F20">
              <w:rPr>
                <w:rFonts w:ascii="ˎ̥" w:eastAsia="宋体" w:hAnsi="ˎ̥" w:cs="Arial"/>
                <w:color w:val="000000"/>
                <w:kern w:val="0"/>
                <w:szCs w:val="21"/>
              </w:rPr>
              <w:t>2</w:t>
            </w:r>
            <w:r w:rsidRPr="00590F20">
              <w:rPr>
                <w:rFonts w:ascii="ˎ̥" w:eastAsia="宋体" w:hAnsi="ˎ̥" w:cs="Arial"/>
                <w:color w:val="000000"/>
                <w:kern w:val="0"/>
                <w:szCs w:val="21"/>
              </w:rPr>
              <w:t>年备查。</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第二类、第三类易制毒化学品的销售情况，应当自销售之日起</w:t>
            </w:r>
            <w:r w:rsidRPr="00590F20">
              <w:rPr>
                <w:rFonts w:ascii="ˎ̥" w:eastAsia="宋体" w:hAnsi="ˎ̥" w:cs="Arial"/>
                <w:color w:val="000000"/>
                <w:kern w:val="0"/>
                <w:szCs w:val="21"/>
              </w:rPr>
              <w:t>30</w:t>
            </w:r>
            <w:r w:rsidRPr="00590F20">
              <w:rPr>
                <w:rFonts w:ascii="ˎ̥" w:eastAsia="宋体" w:hAnsi="ˎ̥" w:cs="Arial"/>
                <w:color w:val="000000"/>
                <w:kern w:val="0"/>
                <w:szCs w:val="21"/>
              </w:rPr>
              <w:t>日内报当地公安机关备案。</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第四章　运输管理</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第二十条　跨设区的市级行政区域（直辖市为跨市界）或者在国务院公安部门确定的禁毒形势严峻的重点地区跨县级行政区域运输第一类易制毒化学品的，由运出地的设区的市级人民政府公安机关审批；运输第二类易制毒化学品的，由运出地的县级人民政府公安机关审批。经审批取得易制毒化学品运输许可证后，方可运输。</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运输第三类易制毒化学品的，应当在运输前向运出地的县级人民政府公安机关备案。公安机关应当于收到备案材料的当日发给备案证明。</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第二十一条　申请易制毒化学品运输许可，应当提交易制毒化学品的购销合同，货主是企业的，应当提交营业执照；货主是其他组织的，应当提交登记证书（成立批准文件）；货主是个人的，应当提交其个人身份证明。经办人还应当提交本人的身份证明。</w:t>
            </w:r>
            <w:r w:rsidRPr="00590F20">
              <w:rPr>
                <w:rFonts w:ascii="ˎ̥" w:eastAsia="宋体" w:hAnsi="ˎ̥" w:cs="Arial"/>
                <w:color w:val="000000"/>
                <w:kern w:val="0"/>
                <w:sz w:val="18"/>
                <w:szCs w:val="18"/>
              </w:rPr>
              <w:br/>
            </w:r>
            <w:r w:rsidRPr="00590F20">
              <w:rPr>
                <w:rFonts w:ascii="ˎ̥" w:eastAsia="宋体" w:hAnsi="ˎ̥" w:cs="Arial"/>
                <w:color w:val="000000"/>
                <w:kern w:val="0"/>
                <w:szCs w:val="21"/>
              </w:rPr>
              <w:lastRenderedPageBreak/>
              <w:t xml:space="preserve">　　公安机关应当自收到第一类易制毒化学品运输许可申请之日起</w:t>
            </w:r>
            <w:r w:rsidRPr="00590F20">
              <w:rPr>
                <w:rFonts w:ascii="ˎ̥" w:eastAsia="宋体" w:hAnsi="ˎ̥" w:cs="Arial"/>
                <w:color w:val="000000"/>
                <w:kern w:val="0"/>
                <w:szCs w:val="21"/>
              </w:rPr>
              <w:t>10</w:t>
            </w:r>
            <w:r w:rsidRPr="00590F20">
              <w:rPr>
                <w:rFonts w:ascii="ˎ̥" w:eastAsia="宋体" w:hAnsi="ˎ̥" w:cs="Arial"/>
                <w:color w:val="000000"/>
                <w:kern w:val="0"/>
                <w:szCs w:val="21"/>
              </w:rPr>
              <w:t>日内，收到第二类易制毒化学品运输许可申请之日起</w:t>
            </w:r>
            <w:r w:rsidRPr="00590F20">
              <w:rPr>
                <w:rFonts w:ascii="ˎ̥" w:eastAsia="宋体" w:hAnsi="ˎ̥" w:cs="Arial"/>
                <w:color w:val="000000"/>
                <w:kern w:val="0"/>
                <w:szCs w:val="21"/>
              </w:rPr>
              <w:t>3</w:t>
            </w:r>
            <w:r w:rsidRPr="00590F20">
              <w:rPr>
                <w:rFonts w:ascii="ˎ̥" w:eastAsia="宋体" w:hAnsi="ˎ̥" w:cs="Arial"/>
                <w:color w:val="000000"/>
                <w:kern w:val="0"/>
                <w:szCs w:val="21"/>
              </w:rPr>
              <w:t>日内，对申请人提交的申请材料进行审查。对符合规定的，发给运输许可证；不予许可的，应当书面说明理由。</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审查第一类易制毒化学品运输许可申请材料时，根据需要，可以进行实地核查。</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第二十二条　对许可运输第一类易制毒化学品的，发给一次有效的运输许可证。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对许可运输第二类易制毒化学品的，发给</w:t>
            </w:r>
            <w:r w:rsidRPr="00590F20">
              <w:rPr>
                <w:rFonts w:ascii="ˎ̥" w:eastAsia="宋体" w:hAnsi="ˎ̥" w:cs="Arial"/>
                <w:color w:val="000000"/>
                <w:kern w:val="0"/>
                <w:szCs w:val="21"/>
              </w:rPr>
              <w:t>3</w:t>
            </w:r>
            <w:r w:rsidRPr="00590F20">
              <w:rPr>
                <w:rFonts w:ascii="ˎ̥" w:eastAsia="宋体" w:hAnsi="ˎ̥" w:cs="Arial"/>
                <w:color w:val="000000"/>
                <w:kern w:val="0"/>
                <w:szCs w:val="21"/>
              </w:rPr>
              <w:t>个月有效的运输许可证；</w:t>
            </w:r>
            <w:r w:rsidRPr="00590F20">
              <w:rPr>
                <w:rFonts w:ascii="ˎ̥" w:eastAsia="宋体" w:hAnsi="ˎ̥" w:cs="Arial"/>
                <w:color w:val="000000"/>
                <w:kern w:val="0"/>
                <w:szCs w:val="21"/>
              </w:rPr>
              <w:t>6</w:t>
            </w:r>
            <w:r w:rsidRPr="00590F20">
              <w:rPr>
                <w:rFonts w:ascii="ˎ̥" w:eastAsia="宋体" w:hAnsi="ˎ̥" w:cs="Arial"/>
                <w:color w:val="000000"/>
                <w:kern w:val="0"/>
                <w:szCs w:val="21"/>
              </w:rPr>
              <w:t>个月内运输安全状况良好的，发给</w:t>
            </w:r>
            <w:r w:rsidRPr="00590F20">
              <w:rPr>
                <w:rFonts w:ascii="ˎ̥" w:eastAsia="宋体" w:hAnsi="ˎ̥" w:cs="Arial"/>
                <w:color w:val="000000"/>
                <w:kern w:val="0"/>
                <w:szCs w:val="21"/>
              </w:rPr>
              <w:t>12</w:t>
            </w:r>
            <w:r w:rsidRPr="00590F20">
              <w:rPr>
                <w:rFonts w:ascii="ˎ̥" w:eastAsia="宋体" w:hAnsi="ˎ̥" w:cs="Arial"/>
                <w:color w:val="000000"/>
                <w:kern w:val="0"/>
                <w:szCs w:val="21"/>
              </w:rPr>
              <w:t>个月有效的运输许可证。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易制毒化学品运输许可证应当载明拟运输的易制毒化学品的品种、数量、运入地、货主及收货人、承运人情况以及运输许可证种类。</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第二十三条　运输供教学、科研使用的</w:t>
            </w:r>
            <w:r w:rsidRPr="00590F20">
              <w:rPr>
                <w:rFonts w:ascii="ˎ̥" w:eastAsia="宋体" w:hAnsi="ˎ̥" w:cs="Arial"/>
                <w:color w:val="000000"/>
                <w:kern w:val="0"/>
                <w:szCs w:val="21"/>
              </w:rPr>
              <w:t>100</w:t>
            </w:r>
            <w:r w:rsidRPr="00590F20">
              <w:rPr>
                <w:rFonts w:ascii="ˎ̥" w:eastAsia="宋体" w:hAnsi="ˎ̥" w:cs="Arial"/>
                <w:color w:val="000000"/>
                <w:kern w:val="0"/>
                <w:szCs w:val="21"/>
              </w:rPr>
              <w:t>克以下的麻黄素样品和供医疗机构制剂配方使用的小包装麻黄素以及医疗机构或者麻醉药品经营企业购买麻黄素片剂</w:t>
            </w:r>
            <w:r w:rsidRPr="00590F20">
              <w:rPr>
                <w:rFonts w:ascii="ˎ̥" w:eastAsia="宋体" w:hAnsi="ˎ̥" w:cs="Arial"/>
                <w:color w:val="000000"/>
                <w:kern w:val="0"/>
                <w:szCs w:val="21"/>
              </w:rPr>
              <w:t>6</w:t>
            </w:r>
            <w:r w:rsidRPr="00590F20">
              <w:rPr>
                <w:rFonts w:ascii="ˎ̥" w:eastAsia="宋体" w:hAnsi="ˎ̥" w:cs="Arial"/>
                <w:color w:val="000000"/>
                <w:kern w:val="0"/>
                <w:szCs w:val="21"/>
              </w:rPr>
              <w:t>万片以下、注射剂</w:t>
            </w:r>
            <w:r w:rsidRPr="00590F20">
              <w:rPr>
                <w:rFonts w:ascii="ˎ̥" w:eastAsia="宋体" w:hAnsi="ˎ̥" w:cs="Arial"/>
                <w:color w:val="000000"/>
                <w:kern w:val="0"/>
                <w:szCs w:val="21"/>
              </w:rPr>
              <w:t>l.5</w:t>
            </w:r>
            <w:r w:rsidRPr="00590F20">
              <w:rPr>
                <w:rFonts w:ascii="ˎ̥" w:eastAsia="宋体" w:hAnsi="ˎ̥" w:cs="Arial"/>
                <w:color w:val="000000"/>
                <w:kern w:val="0"/>
                <w:szCs w:val="21"/>
              </w:rPr>
              <w:t>万支以下，货主或者承运人持有依法取得的购买许可证明或者麻醉药品调拨单的，无须申请易制毒化学品运输许可。</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第二十四条　接受货主委托运输的，承运人应当查验货主提供的运输许可证或者备案证明，并查验所运货物与运输许可证或者备案证明载明的易制毒化学品品种等情况是否相符；不相符的，不得承运。</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运输易制毒化学品，运输人员应当自启运起全程携带运输许可证或者备案证明。公安机关应当在易制毒化学品的运输过程中进行检查。</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运输易制毒化学品，应当遵守国家有关货物运输的规定。</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第二十五条　因治疗疾病需要，患者、患者近亲属或者患者委托的人凭医疗机构出具的</w:t>
            </w:r>
            <w:r w:rsidRPr="00590F20">
              <w:rPr>
                <w:rFonts w:ascii="ˎ̥" w:eastAsia="宋体" w:hAnsi="ˎ̥" w:cs="Arial"/>
                <w:color w:val="000000"/>
                <w:kern w:val="0"/>
                <w:szCs w:val="21"/>
              </w:rPr>
              <w:lastRenderedPageBreak/>
              <w:t>医疗诊断书和本人的身份证明，可以随身携带第一类中的药品类易制毒化学品药品制剂，但是不得超过医用单张处方的最大剂量。</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医用单张处方最大剂量，由国务院卫生主管部门规定、公布。</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第五章　进口、出口管理</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第二十六条　申请进口或者出口易制毒化学品，应当提交下列材料，经国务院商务主管部门或者其委托的省、自治区、直辖市人民政府商务主管部门审批，取得进口或者出口许可证后，方可从事进口、出口活动：</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（一）对外贸易经营者备案登记证明（外商投资企业联合年检合格证书）复印件；</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（二）营业执照副本；</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（三）易制毒化学品生产、经营、购买许可证或者备案证明；</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（四）进口或者出口合同（协议）副本；</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（五）经办人的身份证明。</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申请易制毒化学品出口许可的，还应当提交进口方政府主管部门出具的合法使用易制毒化学品的证明或者进口方合法使用的保证文件。</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第二十七条　受理易制毒化学品进口、出口申请的商务主管部门应当自收到申请材料之日起</w:t>
            </w:r>
            <w:r w:rsidRPr="00590F20">
              <w:rPr>
                <w:rFonts w:ascii="ˎ̥" w:eastAsia="宋体" w:hAnsi="ˎ̥" w:cs="Arial"/>
                <w:color w:val="000000"/>
                <w:kern w:val="0"/>
                <w:szCs w:val="21"/>
              </w:rPr>
              <w:t>20</w:t>
            </w:r>
            <w:r w:rsidRPr="00590F20">
              <w:rPr>
                <w:rFonts w:ascii="ˎ̥" w:eastAsia="宋体" w:hAnsi="ˎ̥" w:cs="Arial"/>
                <w:color w:val="000000"/>
                <w:kern w:val="0"/>
                <w:szCs w:val="21"/>
              </w:rPr>
              <w:t>日内，对申请材料进行审查，必要时可以进行实地核查。对符合规定的，发给进口或者出口许可证；不予许可的，应当书面说明理由。</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对进口第一类中的药品类易制毒化学品的，有关的商务主管部门在作出许可决定前，应当征得国务院食品药品监督管理部门的同意。</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lastRenderedPageBreak/>
              <w:t xml:space="preserve">　　第二十八条　麻黄素等属于重点监控物品范围的易制毒化学品，由国务院商务主管部门会同国务院有关部门核定的企业进口、出口。</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第二十九条　国家对易制毒化学品的进口、出口实行国际核查制度。易制毒化学品国际核查目录及核查的具体办法，由国务院商务主管部门会同国务院公安部门规定、公布。</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国际核查所用时间不计算在许可期限之内。</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对向毒品制造、贩运情形严重的国家或者地区出口易制毒化学品以及本条例规定品种以外的化学品的，可以在国际核查措施以外实施其他管制措施，具体办法由国务院商务主管部门会同国务院公安部门、海关总署等有关部门规定、公布。</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第三十条　进口、出口或者过境、转运、通运易制毒化学品的，应当如实向海关申报，并提交进口或者出口许可证。海关凭许可证办理通关手续。</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易制毒化学品在境外与保税区、出口加工区等海关特殊监管区域、保税场所之间进出的，适用前款规定。</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易制毒化学品在境内与保税区、出口加工区等海关特殊监管区域、保税场所之间进出的，或者在上述海关特殊监管区域、保税场所之间进出的，无须申请易制毒化学品进口或者出口许可证。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进口第一类中的药品类易制毒化学品，还应当提交食品药品监督管理部门出具的进口药品通关单。</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第三十一条　进出境人员随身携带第一类中的药品类易制毒化学品药品制剂和高锰酸钾，应当以自用且数量合理为限，并接受海关监管。</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进出境人员不得随身携带前款规定以外的易制毒化学品。</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lastRenderedPageBreak/>
              <w:br/>
            </w:r>
            <w:r w:rsidRPr="00590F20">
              <w:rPr>
                <w:rFonts w:ascii="ˎ̥" w:eastAsia="宋体" w:hAnsi="ˎ̥" w:cs="Arial"/>
                <w:color w:val="000000"/>
                <w:kern w:val="0"/>
                <w:szCs w:val="21"/>
              </w:rPr>
              <w:t xml:space="preserve">　　　　　　　　　　　　　　　　第六章　监督检查</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第三十二条　县级以上人民政府公安机关、食品药品监督管理部门、安全生产监督管理部门、商务主管部门、卫生主管部门、价格主管部门、铁路主管部门、交通主管部门、工商行政管理部门、环境保护主管部门和海关，应当依照本条例和有关法律、行政法规的规定，在各自的职责范围内，加强对易制毒化学品生产、经营、购买、运输、价格以及进口、出口的监督检查；对非法生产、经营、购买、运输易制毒化学品，或者走私易制毒化学品的行为，依法予以查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前款规定的行政主管部门在进行易制毒化学品监督检查时，可以依法查看现场、查阅和复制有关资料、记录有关情况、扣押相关的证据材料和违法物品；必要时，可以临时查封有关场所。</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被检查的单位或者个人应当如实提供有关情况和材料、物品，不得拒绝或者隐匿。</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第三十三条　对依法收缴、查获的易制毒化学品，应当在省、自治区、直辖市或者设区的市级人民政府公安机关、海关或者环境保护主管部门的监督下，区别易制毒化学品的不同情况进行保管、回收，或者依照环境保护法律、行政法规的有关规定，由有资质的单位在环境保护主管部门的监督下销毁。其中，对收缴、查获的第一类中的药品类易制毒化学品，一律销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易制毒化学品违法单位或者个人无力提供保管、回收或者销毁费用的，保管、回收或者销毁的费用在回收所得中开支，或者在有关行政主管部门的禁毒经费中列支。</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第三十四条　易制毒化学品丢失、被盗、被抢的，发案单位应当立即向当地公安机关报</w:t>
            </w:r>
            <w:r w:rsidRPr="00590F20">
              <w:rPr>
                <w:rFonts w:ascii="ˎ̥" w:eastAsia="宋体" w:hAnsi="ˎ̥" w:cs="Arial"/>
                <w:color w:val="000000"/>
                <w:kern w:val="0"/>
                <w:szCs w:val="21"/>
              </w:rPr>
              <w:lastRenderedPageBreak/>
              <w:t>告，并同时报告当地的县级人民政府食品药品监督管理部门、安全生产监督管理部门、商务主管部门或者卫生主管部门。接到报案的公安机关应当及时立案查处，并向上级公安机关报告；有关行政主管部门应当逐级上报并配合公安机关的查处。</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第三十五条　有关行政主管部门应当将易制毒化学品许可以及依法吊销许可的情况通报有关公安机关和工商行政管理部门；工商行政管理部门应当将生产、经营易制毒化学品企业依法变更或者注销登记的情况通报有关公安机关和行政主管部门。</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第三十六条　生产、经营、购买、运输或者进口、出口易制毒化学品的单位，应当于每年</w:t>
            </w:r>
            <w:r w:rsidRPr="00590F20">
              <w:rPr>
                <w:rFonts w:ascii="ˎ̥" w:eastAsia="宋体" w:hAnsi="ˎ̥" w:cs="Arial"/>
                <w:color w:val="000000"/>
                <w:kern w:val="0"/>
                <w:szCs w:val="21"/>
              </w:rPr>
              <w:t>3</w:t>
            </w:r>
            <w:r w:rsidRPr="00590F20">
              <w:rPr>
                <w:rFonts w:ascii="ˎ̥" w:eastAsia="宋体" w:hAnsi="ˎ̥" w:cs="Arial"/>
                <w:color w:val="000000"/>
                <w:kern w:val="0"/>
                <w:szCs w:val="21"/>
              </w:rPr>
              <w:t>月</w:t>
            </w:r>
            <w:r w:rsidRPr="00590F20">
              <w:rPr>
                <w:rFonts w:ascii="ˎ̥" w:eastAsia="宋体" w:hAnsi="ˎ̥" w:cs="Arial"/>
                <w:color w:val="000000"/>
                <w:kern w:val="0"/>
                <w:szCs w:val="21"/>
              </w:rPr>
              <w:t>31</w:t>
            </w:r>
            <w:r w:rsidRPr="00590F20">
              <w:rPr>
                <w:rFonts w:ascii="ˎ̥" w:eastAsia="宋体" w:hAnsi="ˎ̥" w:cs="Arial"/>
                <w:color w:val="000000"/>
                <w:kern w:val="0"/>
                <w:szCs w:val="21"/>
              </w:rPr>
              <w:t>日前向许可或者备案的行政主管部门和公安机关报告本单位上年度易制毒化学品的生产、经营、购买、运输或者进口、出口情况；有条件的生产、经营、购买、运输或者进口、出口单位，可以与有关行政主管部门建立计算机联网，及时通报有关经营情况。</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第三十七条　县级以上人民政府有关行政主管部门应当加强协调合作，建立易制毒化学品管理情况、监督检查情况以及案件处理情况的通报、交流机制。</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第七章　法律责任</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第三十八条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w:t>
            </w:r>
            <w:r w:rsidRPr="00590F20">
              <w:rPr>
                <w:rFonts w:ascii="ˎ̥" w:eastAsia="宋体" w:hAnsi="ˎ̥" w:cs="Arial"/>
                <w:color w:val="000000"/>
                <w:kern w:val="0"/>
                <w:szCs w:val="21"/>
              </w:rPr>
              <w:lastRenderedPageBreak/>
              <w:t>的易制毒化学品货值</w:t>
            </w:r>
            <w:r w:rsidRPr="00590F20">
              <w:rPr>
                <w:rFonts w:ascii="ˎ̥" w:eastAsia="宋体" w:hAnsi="ˎ̥" w:cs="Arial"/>
                <w:color w:val="000000"/>
                <w:kern w:val="0"/>
                <w:szCs w:val="21"/>
              </w:rPr>
              <w:t>10</w:t>
            </w:r>
            <w:r w:rsidRPr="00590F20">
              <w:rPr>
                <w:rFonts w:ascii="ˎ̥" w:eastAsia="宋体" w:hAnsi="ˎ̥" w:cs="Arial"/>
                <w:color w:val="000000"/>
                <w:kern w:val="0"/>
                <w:szCs w:val="21"/>
              </w:rPr>
              <w:t>倍以上</w:t>
            </w:r>
            <w:r w:rsidRPr="00590F20">
              <w:rPr>
                <w:rFonts w:ascii="ˎ̥" w:eastAsia="宋体" w:hAnsi="ˎ̥" w:cs="Arial"/>
                <w:color w:val="000000"/>
                <w:kern w:val="0"/>
                <w:szCs w:val="21"/>
              </w:rPr>
              <w:t>20</w:t>
            </w:r>
            <w:r w:rsidRPr="00590F20">
              <w:rPr>
                <w:rFonts w:ascii="ˎ̥" w:eastAsia="宋体" w:hAnsi="ˎ̥" w:cs="Arial"/>
                <w:color w:val="000000"/>
                <w:kern w:val="0"/>
                <w:szCs w:val="21"/>
              </w:rPr>
              <w:t>倍以下的罚款，货值的</w:t>
            </w:r>
            <w:r w:rsidRPr="00590F20">
              <w:rPr>
                <w:rFonts w:ascii="ˎ̥" w:eastAsia="宋体" w:hAnsi="ˎ̥" w:cs="Arial"/>
                <w:color w:val="000000"/>
                <w:kern w:val="0"/>
                <w:szCs w:val="21"/>
              </w:rPr>
              <w:t>20</w:t>
            </w:r>
            <w:r w:rsidRPr="00590F20">
              <w:rPr>
                <w:rFonts w:ascii="ˎ̥" w:eastAsia="宋体" w:hAnsi="ˎ̥" w:cs="Arial"/>
                <w:color w:val="000000"/>
                <w:kern w:val="0"/>
                <w:szCs w:val="21"/>
              </w:rPr>
              <w:t>倍不足</w:t>
            </w:r>
            <w:r w:rsidRPr="00590F20">
              <w:rPr>
                <w:rFonts w:ascii="ˎ̥" w:eastAsia="宋体" w:hAnsi="ˎ̥" w:cs="Arial"/>
                <w:color w:val="000000"/>
                <w:kern w:val="0"/>
                <w:szCs w:val="21"/>
              </w:rPr>
              <w:t>1</w:t>
            </w:r>
            <w:r w:rsidRPr="00590F20">
              <w:rPr>
                <w:rFonts w:ascii="ˎ̥" w:eastAsia="宋体" w:hAnsi="ˎ̥" w:cs="Arial"/>
                <w:color w:val="000000"/>
                <w:kern w:val="0"/>
                <w:szCs w:val="21"/>
              </w:rPr>
              <w:t>万元的，按</w:t>
            </w:r>
            <w:r w:rsidRPr="00590F20">
              <w:rPr>
                <w:rFonts w:ascii="ˎ̥" w:eastAsia="宋体" w:hAnsi="ˎ̥" w:cs="Arial"/>
                <w:color w:val="000000"/>
                <w:kern w:val="0"/>
                <w:szCs w:val="21"/>
              </w:rPr>
              <w:t>1</w:t>
            </w:r>
            <w:r w:rsidRPr="00590F20">
              <w:rPr>
                <w:rFonts w:ascii="ˎ̥" w:eastAsia="宋体" w:hAnsi="ˎ̥" w:cs="Arial"/>
                <w:color w:val="000000"/>
                <w:kern w:val="0"/>
                <w:szCs w:val="21"/>
              </w:rPr>
              <w:t>万元罚款；有违法所得的，没收违法所得；有营业执照的，由工商行政管理部门吊销营业执照；构成犯罪的，依法追究刑事责任。</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对有前款规定违法行为的单位或者个人，有关行政主管部门可以自作出行政处罚决定之日起</w:t>
            </w:r>
            <w:r w:rsidRPr="00590F20">
              <w:rPr>
                <w:rFonts w:ascii="ˎ̥" w:eastAsia="宋体" w:hAnsi="ˎ̥" w:cs="Arial"/>
                <w:color w:val="000000"/>
                <w:kern w:val="0"/>
                <w:szCs w:val="21"/>
              </w:rPr>
              <w:t>3</w:t>
            </w:r>
            <w:r w:rsidRPr="00590F20">
              <w:rPr>
                <w:rFonts w:ascii="ˎ̥" w:eastAsia="宋体" w:hAnsi="ˎ̥" w:cs="Arial"/>
                <w:color w:val="000000"/>
                <w:kern w:val="0"/>
                <w:szCs w:val="21"/>
              </w:rPr>
              <w:t>年内，停止受理其易制毒化学品生产、经营、购买、运输或者进口、出口许可申请。</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第三十九条　违反本条例规定，走私易制毒化学品的，由海关没收走私的易制毒化学品；有违法所得的，没收违法所得，并依照海关法律、行政法规给予行政处罚；构成犯罪的，依法追究刑事责任。</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第四十条　违反本条例规定，有下列行为之一的，由负有监督管理职责的行政主管部门给予警告，责令限期改正，处</w:t>
            </w:r>
            <w:r w:rsidRPr="00590F20">
              <w:rPr>
                <w:rFonts w:ascii="ˎ̥" w:eastAsia="宋体" w:hAnsi="ˎ̥" w:cs="Arial"/>
                <w:color w:val="000000"/>
                <w:kern w:val="0"/>
                <w:szCs w:val="21"/>
              </w:rPr>
              <w:t>1</w:t>
            </w:r>
            <w:r w:rsidRPr="00590F20">
              <w:rPr>
                <w:rFonts w:ascii="ˎ̥" w:eastAsia="宋体" w:hAnsi="ˎ̥" w:cs="Arial"/>
                <w:color w:val="000000"/>
                <w:kern w:val="0"/>
                <w:szCs w:val="21"/>
              </w:rPr>
              <w:t>万元以上</w:t>
            </w:r>
            <w:r w:rsidRPr="00590F20">
              <w:rPr>
                <w:rFonts w:ascii="ˎ̥" w:eastAsia="宋体" w:hAnsi="ˎ̥" w:cs="Arial"/>
                <w:color w:val="000000"/>
                <w:kern w:val="0"/>
                <w:szCs w:val="21"/>
              </w:rPr>
              <w:t>5</w:t>
            </w:r>
            <w:r w:rsidRPr="00590F20">
              <w:rPr>
                <w:rFonts w:ascii="ˎ̥" w:eastAsia="宋体" w:hAnsi="ˎ̥" w:cs="Arial"/>
                <w:color w:val="000000"/>
                <w:kern w:val="0"/>
                <w:szCs w:val="21"/>
              </w:rPr>
              <w:t>万元以下的罚款；对违反规定生产、经营、购买的易制毒化学品可以予以没收；逾期不改正的，责令限期停产停业整顿；逾期整顿不合格的，吊销相应的许可证：</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（一）易制毒化学品生产、经营、购买、运输或者进口、出口单位未按规定建立安全管理制度的；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（二）将许可证或者备案证明转借他人使用的；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（三）超出许可的品种、数量生产、经营、购买易制毒化学品的；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（四）生产、经营、购买单位不记录或者不如实记录交易情况、不按规定保存交易记录或者不如实、不及时向公安机关和有关行政主管部门备案销售情况的；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（五）易制毒化学品丢失、被盗、被抢后未及时报告，造成严重后果的；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（六）除个人合法购买第一类中的药品类易制毒化学品药品制剂以及第三类易制毒化学</w:t>
            </w:r>
            <w:r w:rsidRPr="00590F20">
              <w:rPr>
                <w:rFonts w:ascii="ˎ̥" w:eastAsia="宋体" w:hAnsi="ˎ̥" w:cs="Arial"/>
                <w:color w:val="000000"/>
                <w:kern w:val="0"/>
                <w:szCs w:val="21"/>
              </w:rPr>
              <w:lastRenderedPageBreak/>
              <w:t>品外，使用现金或者实物进行易制毒化学品交易的；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（七）易制毒化学品的产品包装和使用说明书不符合本条例规定要求的；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（八）生产、经营易制毒化学品的单位不如实或者不按时向有关行政主管部门和公安机关报告年度生产、经销和库存等情况的。</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企业的易制毒化学品生产经营许可被依法吊销后，未及时到工商行政管理部门办理经营范围变更或者企业注销登记的，依照前款规定，对易制毒化学品予以没收，并处罚款。</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第四十一条　运输的易制毒化学品与易制毒化学品运输许可证或者备案证明载明的品种、数量、运入地、货主及收货人、承运人等情况不符，运输许可证种类不当，或者运输人员未全程携带运输许可证或者备案证明的，由公安机关责令停运整改，处</w:t>
            </w:r>
            <w:r w:rsidRPr="00590F20">
              <w:rPr>
                <w:rFonts w:ascii="ˎ̥" w:eastAsia="宋体" w:hAnsi="ˎ̥" w:cs="Arial"/>
                <w:color w:val="000000"/>
                <w:kern w:val="0"/>
                <w:szCs w:val="21"/>
              </w:rPr>
              <w:t>5000</w:t>
            </w:r>
            <w:r w:rsidRPr="00590F20">
              <w:rPr>
                <w:rFonts w:ascii="ˎ̥" w:eastAsia="宋体" w:hAnsi="ˎ̥" w:cs="Arial"/>
                <w:color w:val="000000"/>
                <w:kern w:val="0"/>
                <w:szCs w:val="21"/>
              </w:rPr>
              <w:t>元以上</w:t>
            </w:r>
            <w:r w:rsidRPr="00590F20">
              <w:rPr>
                <w:rFonts w:ascii="ˎ̥" w:eastAsia="宋体" w:hAnsi="ˎ̥" w:cs="Arial"/>
                <w:color w:val="000000"/>
                <w:kern w:val="0"/>
                <w:szCs w:val="21"/>
              </w:rPr>
              <w:t>5</w:t>
            </w:r>
            <w:r w:rsidRPr="00590F20">
              <w:rPr>
                <w:rFonts w:ascii="ˎ̥" w:eastAsia="宋体" w:hAnsi="ˎ̥" w:cs="Arial"/>
                <w:color w:val="000000"/>
                <w:kern w:val="0"/>
                <w:szCs w:val="21"/>
              </w:rPr>
              <w:t>万元以下的罚款；有危险物品运输资质的，运输主管部门可以依法吊销其运输资质。</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个人携带易制毒化学品不符合品种、数量规定的，没收易制毒化学品，处</w:t>
            </w:r>
            <w:r w:rsidRPr="00590F20">
              <w:rPr>
                <w:rFonts w:ascii="ˎ̥" w:eastAsia="宋体" w:hAnsi="ˎ̥" w:cs="Arial"/>
                <w:color w:val="000000"/>
                <w:kern w:val="0"/>
                <w:szCs w:val="21"/>
              </w:rPr>
              <w:t>1000</w:t>
            </w:r>
            <w:r w:rsidRPr="00590F20">
              <w:rPr>
                <w:rFonts w:ascii="ˎ̥" w:eastAsia="宋体" w:hAnsi="ˎ̥" w:cs="Arial"/>
                <w:color w:val="000000"/>
                <w:kern w:val="0"/>
                <w:szCs w:val="21"/>
              </w:rPr>
              <w:t>元以上</w:t>
            </w:r>
            <w:r w:rsidRPr="00590F20">
              <w:rPr>
                <w:rFonts w:ascii="ˎ̥" w:eastAsia="宋体" w:hAnsi="ˎ̥" w:cs="Arial"/>
                <w:color w:val="000000"/>
                <w:kern w:val="0"/>
                <w:szCs w:val="21"/>
              </w:rPr>
              <w:t>5000</w:t>
            </w:r>
            <w:r w:rsidRPr="00590F20">
              <w:rPr>
                <w:rFonts w:ascii="ˎ̥" w:eastAsia="宋体" w:hAnsi="ˎ̥" w:cs="Arial"/>
                <w:color w:val="000000"/>
                <w:kern w:val="0"/>
                <w:szCs w:val="21"/>
              </w:rPr>
              <w:t>元以下的罚款。</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第四十二条　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w:t>
            </w:r>
            <w:r w:rsidRPr="00590F20">
              <w:rPr>
                <w:rFonts w:ascii="ˎ̥" w:eastAsia="宋体" w:hAnsi="ˎ̥" w:cs="Arial"/>
                <w:color w:val="000000"/>
                <w:kern w:val="0"/>
                <w:szCs w:val="21"/>
              </w:rPr>
              <w:t>1</w:t>
            </w:r>
            <w:r w:rsidRPr="00590F20">
              <w:rPr>
                <w:rFonts w:ascii="ˎ̥" w:eastAsia="宋体" w:hAnsi="ˎ̥" w:cs="Arial"/>
                <w:color w:val="000000"/>
                <w:kern w:val="0"/>
                <w:szCs w:val="21"/>
              </w:rPr>
              <w:t>万元以上</w:t>
            </w:r>
            <w:r w:rsidRPr="00590F20">
              <w:rPr>
                <w:rFonts w:ascii="ˎ̥" w:eastAsia="宋体" w:hAnsi="ˎ̥" w:cs="Arial"/>
                <w:color w:val="000000"/>
                <w:kern w:val="0"/>
                <w:szCs w:val="21"/>
              </w:rPr>
              <w:t>5</w:t>
            </w:r>
            <w:r w:rsidRPr="00590F20">
              <w:rPr>
                <w:rFonts w:ascii="ˎ̥" w:eastAsia="宋体" w:hAnsi="ˎ̥" w:cs="Arial"/>
                <w:color w:val="000000"/>
                <w:kern w:val="0"/>
                <w:szCs w:val="21"/>
              </w:rPr>
              <w:t>万元以下的罚款，对直接负责的主管人员以及其他直接责任人员处</w:t>
            </w:r>
            <w:r w:rsidRPr="00590F20">
              <w:rPr>
                <w:rFonts w:ascii="ˎ̥" w:eastAsia="宋体" w:hAnsi="ˎ̥" w:cs="Arial"/>
                <w:color w:val="000000"/>
                <w:kern w:val="0"/>
                <w:szCs w:val="21"/>
              </w:rPr>
              <w:t>1000</w:t>
            </w:r>
            <w:r w:rsidRPr="00590F20">
              <w:rPr>
                <w:rFonts w:ascii="ˎ̥" w:eastAsia="宋体" w:hAnsi="ˎ̥" w:cs="Arial"/>
                <w:color w:val="000000"/>
                <w:kern w:val="0"/>
                <w:szCs w:val="21"/>
              </w:rPr>
              <w:t>元以上</w:t>
            </w:r>
            <w:r w:rsidRPr="00590F20">
              <w:rPr>
                <w:rFonts w:ascii="ˎ̥" w:eastAsia="宋体" w:hAnsi="ˎ̥" w:cs="Arial"/>
                <w:color w:val="000000"/>
                <w:kern w:val="0"/>
                <w:szCs w:val="21"/>
              </w:rPr>
              <w:t>5000</w:t>
            </w:r>
            <w:r w:rsidRPr="00590F20">
              <w:rPr>
                <w:rFonts w:ascii="ˎ̥" w:eastAsia="宋体" w:hAnsi="ˎ̥" w:cs="Arial"/>
                <w:color w:val="000000"/>
                <w:kern w:val="0"/>
                <w:szCs w:val="21"/>
              </w:rPr>
              <w:t>元以下的罚款；有违反治安管理行为的，依法给予治安管理处罚；构成犯罪的，依法追究刑事责任。</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第四十三条　易制毒化学品行政主管部门工作人员在管理工作中有应当许可而不许可、不应当许可而滥许可，不依法受理备案，以及其他滥用职权、玩忽职守、徇私舞弊行为的，依法给予行政处分；构成犯罪的，依法追究刑事责任。</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lastRenderedPageBreak/>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第八章　附　则</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第四十四条　易制毒化学品生产、经营、购买、运输和进口、出口许可证，由国务院有关行政主管部门根据各自的职责规定式样并监制。</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第四十五条　本条例自</w:t>
            </w:r>
            <w:r w:rsidRPr="00590F20">
              <w:rPr>
                <w:rFonts w:ascii="ˎ̥" w:eastAsia="宋体" w:hAnsi="ˎ̥" w:cs="Arial"/>
                <w:color w:val="000000"/>
                <w:kern w:val="0"/>
                <w:szCs w:val="21"/>
              </w:rPr>
              <w:t>2005</w:t>
            </w:r>
            <w:r w:rsidRPr="00590F20">
              <w:rPr>
                <w:rFonts w:ascii="ˎ̥" w:eastAsia="宋体" w:hAnsi="ˎ̥" w:cs="Arial"/>
                <w:color w:val="000000"/>
                <w:kern w:val="0"/>
                <w:szCs w:val="21"/>
              </w:rPr>
              <w:t>年</w:t>
            </w:r>
            <w:r w:rsidRPr="00590F20">
              <w:rPr>
                <w:rFonts w:ascii="ˎ̥" w:eastAsia="宋体" w:hAnsi="ˎ̥" w:cs="Arial"/>
                <w:color w:val="000000"/>
                <w:kern w:val="0"/>
                <w:szCs w:val="21"/>
              </w:rPr>
              <w:t>11</w:t>
            </w:r>
            <w:r w:rsidRPr="00590F20">
              <w:rPr>
                <w:rFonts w:ascii="ˎ̥" w:eastAsia="宋体" w:hAnsi="ˎ̥" w:cs="Arial"/>
                <w:color w:val="000000"/>
                <w:kern w:val="0"/>
                <w:szCs w:val="21"/>
              </w:rPr>
              <w:t>月</w:t>
            </w:r>
            <w:r w:rsidRPr="00590F20">
              <w:rPr>
                <w:rFonts w:ascii="ˎ̥" w:eastAsia="宋体" w:hAnsi="ˎ̥" w:cs="Arial"/>
                <w:color w:val="000000"/>
                <w:kern w:val="0"/>
                <w:szCs w:val="21"/>
              </w:rPr>
              <w:t>1</w:t>
            </w:r>
            <w:r w:rsidRPr="00590F20">
              <w:rPr>
                <w:rFonts w:ascii="ˎ̥" w:eastAsia="宋体" w:hAnsi="ˎ̥" w:cs="Arial"/>
                <w:color w:val="000000"/>
                <w:kern w:val="0"/>
                <w:szCs w:val="21"/>
              </w:rPr>
              <w:t>日起施行。</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本条例施行前已经从事易制毒化学品生产、经营、购买、运输或者进口、出口业务的，应当自本条例施行之日起</w:t>
            </w:r>
            <w:r w:rsidRPr="00590F20">
              <w:rPr>
                <w:rFonts w:ascii="ˎ̥" w:eastAsia="宋体" w:hAnsi="ˎ̥" w:cs="Arial"/>
                <w:color w:val="000000"/>
                <w:kern w:val="0"/>
                <w:szCs w:val="21"/>
              </w:rPr>
              <w:t>6</w:t>
            </w:r>
            <w:r w:rsidRPr="00590F20">
              <w:rPr>
                <w:rFonts w:ascii="ˎ̥" w:eastAsia="宋体" w:hAnsi="ˎ̥" w:cs="Arial"/>
                <w:color w:val="000000"/>
                <w:kern w:val="0"/>
                <w:szCs w:val="21"/>
              </w:rPr>
              <w:t>个月内，依照本条例的规定重新申请许可。</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 w:val="18"/>
                <w:szCs w:val="18"/>
              </w:rPr>
              <w:br/>
            </w:r>
            <w:r w:rsidRPr="00590F20">
              <w:rPr>
                <w:rFonts w:ascii="ˎ̥" w:eastAsia="宋体" w:hAnsi="ˎ̥" w:cs="Arial"/>
                <w:color w:val="000000"/>
                <w:kern w:val="0"/>
                <w:szCs w:val="21"/>
              </w:rPr>
              <w:t>附表：</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易制毒化学品的分类和品种目录</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第一类</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1</w:t>
            </w:r>
            <w:r w:rsidRPr="00590F20">
              <w:rPr>
                <w:rFonts w:ascii="ˎ̥" w:eastAsia="宋体" w:hAnsi="ˎ̥" w:cs="Arial"/>
                <w:color w:val="000000"/>
                <w:kern w:val="0"/>
                <w:szCs w:val="21"/>
              </w:rPr>
              <w:t>．</w:t>
            </w:r>
            <w:r w:rsidRPr="00590F20">
              <w:rPr>
                <w:rFonts w:ascii="ˎ̥" w:eastAsia="宋体" w:hAnsi="ˎ̥" w:cs="Arial"/>
                <w:color w:val="000000"/>
                <w:kern w:val="0"/>
                <w:szCs w:val="21"/>
              </w:rPr>
              <w:t>1</w:t>
            </w:r>
            <w:r w:rsidRPr="00590F20">
              <w:rPr>
                <w:rFonts w:ascii="ˎ̥" w:eastAsia="宋体" w:hAnsi="ˎ̥" w:cs="Arial"/>
                <w:color w:val="000000"/>
                <w:kern w:val="0"/>
                <w:szCs w:val="21"/>
              </w:rPr>
              <w:t>－苯基－</w:t>
            </w:r>
            <w:r w:rsidRPr="00590F20">
              <w:rPr>
                <w:rFonts w:ascii="ˎ̥" w:eastAsia="宋体" w:hAnsi="ˎ̥" w:cs="Arial"/>
                <w:color w:val="000000"/>
                <w:kern w:val="0"/>
                <w:szCs w:val="21"/>
              </w:rPr>
              <w:t>2</w:t>
            </w:r>
            <w:r w:rsidRPr="00590F20">
              <w:rPr>
                <w:rFonts w:ascii="ˎ̥" w:eastAsia="宋体" w:hAnsi="ˎ̥" w:cs="Arial"/>
                <w:color w:val="000000"/>
                <w:kern w:val="0"/>
                <w:szCs w:val="21"/>
              </w:rPr>
              <w:t>－丙酮</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2</w:t>
            </w:r>
            <w:r w:rsidRPr="00590F20">
              <w:rPr>
                <w:rFonts w:ascii="ˎ̥" w:eastAsia="宋体" w:hAnsi="ˎ̥" w:cs="Arial"/>
                <w:color w:val="000000"/>
                <w:kern w:val="0"/>
                <w:szCs w:val="21"/>
              </w:rPr>
              <w:t>．</w:t>
            </w:r>
            <w:r w:rsidRPr="00590F20">
              <w:rPr>
                <w:rFonts w:ascii="ˎ̥" w:eastAsia="宋体" w:hAnsi="ˎ̥" w:cs="Arial"/>
                <w:color w:val="000000"/>
                <w:kern w:val="0"/>
                <w:szCs w:val="21"/>
              </w:rPr>
              <w:t>3</w:t>
            </w:r>
            <w:r w:rsidRPr="00590F20">
              <w:rPr>
                <w:rFonts w:ascii="ˎ̥" w:eastAsia="宋体" w:hAnsi="ˎ̥" w:cs="Arial"/>
                <w:color w:val="000000"/>
                <w:kern w:val="0"/>
                <w:szCs w:val="21"/>
              </w:rPr>
              <w:t>，</w:t>
            </w:r>
            <w:r w:rsidRPr="00590F20">
              <w:rPr>
                <w:rFonts w:ascii="ˎ̥" w:eastAsia="宋体" w:hAnsi="ˎ̥" w:cs="Arial"/>
                <w:color w:val="000000"/>
                <w:kern w:val="0"/>
                <w:szCs w:val="21"/>
              </w:rPr>
              <w:t>4</w:t>
            </w:r>
            <w:r w:rsidRPr="00590F20">
              <w:rPr>
                <w:rFonts w:ascii="ˎ̥" w:eastAsia="宋体" w:hAnsi="ˎ̥" w:cs="Arial"/>
                <w:color w:val="000000"/>
                <w:kern w:val="0"/>
                <w:szCs w:val="21"/>
              </w:rPr>
              <w:t>－亚甲基二氧苯基－</w:t>
            </w:r>
            <w:r w:rsidRPr="00590F20">
              <w:rPr>
                <w:rFonts w:ascii="ˎ̥" w:eastAsia="宋体" w:hAnsi="ˎ̥" w:cs="Arial"/>
                <w:color w:val="000000"/>
                <w:kern w:val="0"/>
                <w:szCs w:val="21"/>
              </w:rPr>
              <w:t>2</w:t>
            </w:r>
            <w:r w:rsidRPr="00590F20">
              <w:rPr>
                <w:rFonts w:ascii="ˎ̥" w:eastAsia="宋体" w:hAnsi="ˎ̥" w:cs="Arial"/>
                <w:color w:val="000000"/>
                <w:kern w:val="0"/>
                <w:szCs w:val="21"/>
              </w:rPr>
              <w:t>－丙酮</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3</w:t>
            </w:r>
            <w:r w:rsidRPr="00590F20">
              <w:rPr>
                <w:rFonts w:ascii="ˎ̥" w:eastAsia="宋体" w:hAnsi="ˎ̥" w:cs="Arial"/>
                <w:color w:val="000000"/>
                <w:kern w:val="0"/>
                <w:szCs w:val="21"/>
              </w:rPr>
              <w:t>．胡椒醛</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4</w:t>
            </w:r>
            <w:r w:rsidRPr="00590F20">
              <w:rPr>
                <w:rFonts w:ascii="ˎ̥" w:eastAsia="宋体" w:hAnsi="ˎ̥" w:cs="Arial"/>
                <w:color w:val="000000"/>
                <w:kern w:val="0"/>
                <w:szCs w:val="21"/>
              </w:rPr>
              <w:t>．黄樟素</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5</w:t>
            </w:r>
            <w:r w:rsidRPr="00590F20">
              <w:rPr>
                <w:rFonts w:ascii="ˎ̥" w:eastAsia="宋体" w:hAnsi="ˎ̥" w:cs="Arial"/>
                <w:color w:val="000000"/>
                <w:kern w:val="0"/>
                <w:szCs w:val="21"/>
              </w:rPr>
              <w:t>．黄樟油</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6</w:t>
            </w:r>
            <w:r w:rsidRPr="00590F20">
              <w:rPr>
                <w:rFonts w:ascii="ˎ̥" w:eastAsia="宋体" w:hAnsi="ˎ̥" w:cs="Arial"/>
                <w:color w:val="000000"/>
                <w:kern w:val="0"/>
                <w:szCs w:val="21"/>
              </w:rPr>
              <w:t>．异黄樟素</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7.N</w:t>
            </w:r>
            <w:r w:rsidRPr="00590F20">
              <w:rPr>
                <w:rFonts w:ascii="ˎ̥" w:eastAsia="宋体" w:hAnsi="ˎ̥" w:cs="Arial"/>
                <w:color w:val="000000"/>
                <w:kern w:val="0"/>
                <w:szCs w:val="21"/>
              </w:rPr>
              <w:t>－乙酰邻氨基苯酸</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8</w:t>
            </w:r>
            <w:r w:rsidRPr="00590F20">
              <w:rPr>
                <w:rFonts w:ascii="ˎ̥" w:eastAsia="宋体" w:hAnsi="ˎ̥" w:cs="Arial"/>
                <w:color w:val="000000"/>
                <w:kern w:val="0"/>
                <w:szCs w:val="21"/>
              </w:rPr>
              <w:t>．邻氨基苯甲酸</w:t>
            </w:r>
            <w:r w:rsidRPr="00590F20">
              <w:rPr>
                <w:rFonts w:ascii="ˎ̥" w:eastAsia="宋体" w:hAnsi="ˎ̥" w:cs="Arial"/>
                <w:color w:val="000000"/>
                <w:kern w:val="0"/>
                <w:sz w:val="18"/>
                <w:szCs w:val="18"/>
              </w:rPr>
              <w:br/>
            </w:r>
            <w:r w:rsidRPr="00590F20">
              <w:rPr>
                <w:rFonts w:ascii="ˎ̥" w:eastAsia="宋体" w:hAnsi="ˎ̥" w:cs="Arial"/>
                <w:color w:val="000000"/>
                <w:kern w:val="0"/>
                <w:szCs w:val="21"/>
              </w:rPr>
              <w:lastRenderedPageBreak/>
              <w:t xml:space="preserve">　　</w:t>
            </w:r>
            <w:r w:rsidRPr="00590F20">
              <w:rPr>
                <w:rFonts w:ascii="ˎ̥" w:eastAsia="宋体" w:hAnsi="ˎ̥" w:cs="Arial"/>
                <w:color w:val="000000"/>
                <w:kern w:val="0"/>
                <w:szCs w:val="21"/>
              </w:rPr>
              <w:t>9</w:t>
            </w:r>
            <w:r w:rsidRPr="00590F20">
              <w:rPr>
                <w:rFonts w:ascii="ˎ̥" w:eastAsia="宋体" w:hAnsi="ˎ̥" w:cs="Arial"/>
                <w:color w:val="000000"/>
                <w:kern w:val="0"/>
                <w:szCs w:val="21"/>
              </w:rPr>
              <w:t>．麦角酸＊</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10</w:t>
            </w:r>
            <w:r w:rsidRPr="00590F20">
              <w:rPr>
                <w:rFonts w:ascii="ˎ̥" w:eastAsia="宋体" w:hAnsi="ˎ̥" w:cs="Arial"/>
                <w:color w:val="000000"/>
                <w:kern w:val="0"/>
                <w:szCs w:val="21"/>
              </w:rPr>
              <w:t>．麦角胺＊</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11</w:t>
            </w:r>
            <w:r w:rsidRPr="00590F20">
              <w:rPr>
                <w:rFonts w:ascii="ˎ̥" w:eastAsia="宋体" w:hAnsi="ˎ̥" w:cs="Arial"/>
                <w:color w:val="000000"/>
                <w:kern w:val="0"/>
                <w:szCs w:val="21"/>
              </w:rPr>
              <w:t>．麦角新碱＊</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12</w:t>
            </w:r>
            <w:r w:rsidRPr="00590F20">
              <w:rPr>
                <w:rFonts w:ascii="ˎ̥" w:eastAsia="宋体" w:hAnsi="ˎ̥" w:cs="Arial"/>
                <w:color w:val="000000"/>
                <w:kern w:val="0"/>
                <w:szCs w:val="21"/>
              </w:rPr>
              <w:t>．麻黄素、伪麻黄素、消旋麻黄素、去甲麻黄素、甲基麻黄素、麻黄浸膏、麻黄浸膏粉等麻黄素类物质＊</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第二类</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1</w:t>
            </w:r>
            <w:r w:rsidRPr="00590F20">
              <w:rPr>
                <w:rFonts w:ascii="ˎ̥" w:eastAsia="宋体" w:hAnsi="ˎ̥" w:cs="Arial"/>
                <w:color w:val="000000"/>
                <w:kern w:val="0"/>
                <w:szCs w:val="21"/>
              </w:rPr>
              <w:t>．苯乙酸</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2</w:t>
            </w:r>
            <w:r w:rsidRPr="00590F20">
              <w:rPr>
                <w:rFonts w:ascii="ˎ̥" w:eastAsia="宋体" w:hAnsi="ˎ̥" w:cs="Arial"/>
                <w:color w:val="000000"/>
                <w:kern w:val="0"/>
                <w:szCs w:val="21"/>
              </w:rPr>
              <w:t>．醋酸酐</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3</w:t>
            </w:r>
            <w:r w:rsidRPr="00590F20">
              <w:rPr>
                <w:rFonts w:ascii="ˎ̥" w:eastAsia="宋体" w:hAnsi="ˎ̥" w:cs="Arial"/>
                <w:color w:val="000000"/>
                <w:kern w:val="0"/>
                <w:szCs w:val="21"/>
              </w:rPr>
              <w:t>．三氯甲烷</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4</w:t>
            </w:r>
            <w:r w:rsidRPr="00590F20">
              <w:rPr>
                <w:rFonts w:ascii="ˎ̥" w:eastAsia="宋体" w:hAnsi="ˎ̥" w:cs="Arial"/>
                <w:color w:val="000000"/>
                <w:kern w:val="0"/>
                <w:szCs w:val="21"/>
              </w:rPr>
              <w:t>．乙醚</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5</w:t>
            </w:r>
            <w:r w:rsidRPr="00590F20">
              <w:rPr>
                <w:rFonts w:ascii="ˎ̥" w:eastAsia="宋体" w:hAnsi="ˎ̥" w:cs="Arial"/>
                <w:color w:val="000000"/>
                <w:kern w:val="0"/>
                <w:szCs w:val="21"/>
              </w:rPr>
              <w:t>．哌啶</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第三类</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1</w:t>
            </w:r>
            <w:r w:rsidRPr="00590F20">
              <w:rPr>
                <w:rFonts w:ascii="ˎ̥" w:eastAsia="宋体" w:hAnsi="ˎ̥" w:cs="Arial"/>
                <w:color w:val="000000"/>
                <w:kern w:val="0"/>
                <w:szCs w:val="21"/>
              </w:rPr>
              <w:t>．甲苯</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2</w:t>
            </w:r>
            <w:r w:rsidRPr="00590F20">
              <w:rPr>
                <w:rFonts w:ascii="ˎ̥" w:eastAsia="宋体" w:hAnsi="ˎ̥" w:cs="Arial"/>
                <w:color w:val="000000"/>
                <w:kern w:val="0"/>
                <w:szCs w:val="21"/>
              </w:rPr>
              <w:t>．丙酮</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3</w:t>
            </w:r>
            <w:r w:rsidRPr="00590F20">
              <w:rPr>
                <w:rFonts w:ascii="ˎ̥" w:eastAsia="宋体" w:hAnsi="ˎ̥" w:cs="Arial"/>
                <w:color w:val="000000"/>
                <w:kern w:val="0"/>
                <w:szCs w:val="21"/>
              </w:rPr>
              <w:t>．甲基乙基酮</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4</w:t>
            </w:r>
            <w:r w:rsidRPr="00590F20">
              <w:rPr>
                <w:rFonts w:ascii="ˎ̥" w:eastAsia="宋体" w:hAnsi="ˎ̥" w:cs="Arial"/>
                <w:color w:val="000000"/>
                <w:kern w:val="0"/>
                <w:szCs w:val="21"/>
              </w:rPr>
              <w:t>．高锰酸钾</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5</w:t>
            </w:r>
            <w:r w:rsidRPr="00590F20">
              <w:rPr>
                <w:rFonts w:ascii="ˎ̥" w:eastAsia="宋体" w:hAnsi="ˎ̥" w:cs="Arial"/>
                <w:color w:val="000000"/>
                <w:kern w:val="0"/>
                <w:szCs w:val="21"/>
              </w:rPr>
              <w:t>．硫酸</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w:t>
            </w:r>
            <w:r w:rsidRPr="00590F20">
              <w:rPr>
                <w:rFonts w:ascii="ˎ̥" w:eastAsia="宋体" w:hAnsi="ˎ̥" w:cs="Arial"/>
                <w:color w:val="000000"/>
                <w:kern w:val="0"/>
                <w:szCs w:val="21"/>
              </w:rPr>
              <w:t>6</w:t>
            </w:r>
            <w:r w:rsidRPr="00590F20">
              <w:rPr>
                <w:rFonts w:ascii="ˎ̥" w:eastAsia="宋体" w:hAnsi="ˎ̥" w:cs="Arial"/>
                <w:color w:val="000000"/>
                <w:kern w:val="0"/>
                <w:szCs w:val="21"/>
              </w:rPr>
              <w:t>．盐酸</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t xml:space="preserve">　　说明：</w:t>
            </w:r>
            <w:r w:rsidRPr="00590F20">
              <w:rPr>
                <w:rFonts w:ascii="ˎ̥" w:eastAsia="宋体" w:hAnsi="ˎ̥" w:cs="Arial"/>
                <w:color w:val="000000"/>
                <w:kern w:val="0"/>
                <w:sz w:val="18"/>
                <w:szCs w:val="18"/>
              </w:rPr>
              <w:br/>
            </w:r>
            <w:r w:rsidRPr="00590F20">
              <w:rPr>
                <w:rFonts w:ascii="ˎ̥" w:eastAsia="宋体" w:hAnsi="ˎ̥" w:cs="Arial"/>
                <w:color w:val="000000"/>
                <w:kern w:val="0"/>
                <w:szCs w:val="21"/>
              </w:rPr>
              <w:t xml:space="preserve">　　一、第一类、第二类所列物质可能存在的盐类，也纳入管制。</w:t>
            </w:r>
          </w:p>
          <w:p w:rsidR="00590F20" w:rsidRPr="00590F20" w:rsidRDefault="00590F20" w:rsidP="00590F20">
            <w:pPr>
              <w:widowControl/>
              <w:spacing w:before="100" w:beforeAutospacing="1" w:after="100" w:afterAutospacing="1" w:line="480" w:lineRule="auto"/>
              <w:jc w:val="left"/>
              <w:rPr>
                <w:rFonts w:ascii="ˎ̥" w:eastAsia="宋体" w:hAnsi="ˎ̥" w:cs="Arial"/>
                <w:color w:val="000000"/>
                <w:kern w:val="0"/>
                <w:szCs w:val="21"/>
              </w:rPr>
            </w:pPr>
            <w:r w:rsidRPr="00590F20">
              <w:rPr>
                <w:rFonts w:ascii="ˎ̥" w:eastAsia="宋体" w:hAnsi="ˎ̥" w:cs="Arial"/>
                <w:color w:val="000000"/>
                <w:kern w:val="0"/>
                <w:szCs w:val="21"/>
              </w:rPr>
              <w:lastRenderedPageBreak/>
              <w:t xml:space="preserve">　　二、带有＊标记的品种为第一类中的药品类易制毒化学品，第一类中的药品类易制毒化学品包括原料药及其单方制剂。</w:t>
            </w:r>
          </w:p>
        </w:tc>
      </w:tr>
    </w:tbl>
    <w:p w:rsidR="00FE789A" w:rsidRDefault="00FE789A"/>
    <w:sectPr w:rsidR="00FE789A" w:rsidSect="00FE789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0F20"/>
    <w:rsid w:val="00590F20"/>
    <w:rsid w:val="00AB026D"/>
    <w:rsid w:val="00E66C02"/>
    <w:rsid w:val="00FE78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8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0F20"/>
    <w:rPr>
      <w:sz w:val="18"/>
      <w:szCs w:val="18"/>
    </w:rPr>
  </w:style>
  <w:style w:type="character" w:customStyle="1" w:styleId="Char">
    <w:name w:val="批注框文本 Char"/>
    <w:basedOn w:val="a0"/>
    <w:link w:val="a3"/>
    <w:uiPriority w:val="99"/>
    <w:semiHidden/>
    <w:rsid w:val="00590F2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1377</Words>
  <Characters>7852</Characters>
  <Application>Microsoft Office Word</Application>
  <DocSecurity>0</DocSecurity>
  <Lines>65</Lines>
  <Paragraphs>18</Paragraphs>
  <ScaleCrop>false</ScaleCrop>
  <Company/>
  <LinksUpToDate>false</LinksUpToDate>
  <CharactersWithSpaces>9211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2017-03-06T02:32:00Z</dcterms:created>
  <dcterms:modified xsi:type="dcterms:W3CDTF">2017-03-06T08:43:00Z</dcterms:modified>
</cp:coreProperties>
</file>