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D91" w:rsidRDefault="00EB64F9" w:rsidP="00EB64F9">
      <w:pPr>
        <w:jc w:val="center"/>
        <w:rPr>
          <w:b/>
          <w:bCs/>
          <w:color w:val="000000"/>
          <w:sz w:val="23"/>
          <w:szCs w:val="23"/>
        </w:rPr>
      </w:pPr>
      <w:bookmarkStart w:id="0" w:name="_GoBack"/>
      <w:r>
        <w:rPr>
          <w:rFonts w:hint="eastAsia"/>
          <w:b/>
          <w:bCs/>
          <w:color w:val="000000"/>
          <w:sz w:val="23"/>
          <w:szCs w:val="23"/>
        </w:rPr>
        <w:t>福州大学关于印发修订后的培训费管理实施细则的通知</w:t>
      </w:r>
    </w:p>
    <w:bookmarkEnd w:id="0"/>
    <w:p w:rsidR="00EB64F9" w:rsidRPr="00EB64F9" w:rsidRDefault="00EB64F9" w:rsidP="00EB64F9">
      <w:pPr>
        <w:widowControl/>
        <w:spacing w:line="640" w:lineRule="atLeast"/>
        <w:jc w:val="center"/>
        <w:rPr>
          <w:rFonts w:ascii="宋体" w:eastAsia="宋体" w:hAnsi="宋体" w:cs="宋体"/>
          <w:color w:val="000000"/>
          <w:spacing w:val="-6"/>
          <w:kern w:val="0"/>
          <w:sz w:val="32"/>
          <w:szCs w:val="32"/>
        </w:rPr>
      </w:pPr>
      <w:r w:rsidRPr="00EB64F9">
        <w:rPr>
          <w:rFonts w:ascii="宋体" w:eastAsia="宋体" w:hAnsi="宋体" w:cs="宋体" w:hint="eastAsia"/>
          <w:color w:val="000000"/>
          <w:spacing w:val="-6"/>
          <w:kern w:val="0"/>
          <w:sz w:val="32"/>
          <w:szCs w:val="32"/>
        </w:rPr>
        <w:t>福大财〔2017〕22号</w:t>
      </w:r>
    </w:p>
    <w:p w:rsidR="00EB64F9" w:rsidRPr="00EB64F9" w:rsidRDefault="00EB64F9" w:rsidP="00EB64F9">
      <w:pPr>
        <w:widowControl/>
        <w:spacing w:line="640" w:lineRule="atLeast"/>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6"/>
          <w:kern w:val="0"/>
          <w:sz w:val="32"/>
          <w:szCs w:val="32"/>
        </w:rPr>
        <w:t>各学院，机关各部门、各单位：</w:t>
      </w:r>
    </w:p>
    <w:p w:rsidR="00EB64F9" w:rsidRPr="00EB64F9" w:rsidRDefault="00EB64F9" w:rsidP="00EB64F9">
      <w:pPr>
        <w:widowControl/>
        <w:shd w:val="clear" w:color="auto" w:fill="FFFFFF"/>
        <w:spacing w:line="640" w:lineRule="atLeast"/>
        <w:ind w:firstLine="616"/>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6"/>
          <w:kern w:val="0"/>
          <w:sz w:val="32"/>
          <w:szCs w:val="32"/>
        </w:rPr>
        <w:t>根据《福建省省直机关培训费管理办法》（闽财行〔2017〕18号），现对我校《福州大学培训费管理实施细则》（福大财〔2017〕7号）进行修订，经2017年第16次校长办公会议讨论通过，现予以印发执行。</w:t>
      </w:r>
    </w:p>
    <w:p w:rsidR="00EB64F9" w:rsidRPr="00EB64F9" w:rsidRDefault="00EB64F9" w:rsidP="00EB64F9">
      <w:pPr>
        <w:widowControl/>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kern w:val="0"/>
          <w:sz w:val="20"/>
          <w:szCs w:val="20"/>
        </w:rPr>
        <w:t> </w:t>
      </w:r>
    </w:p>
    <w:p w:rsidR="00EB64F9" w:rsidRPr="00EB64F9" w:rsidRDefault="00EB64F9" w:rsidP="00EB64F9">
      <w:pPr>
        <w:widowControl/>
        <w:spacing w:line="640" w:lineRule="atLeast"/>
        <w:jc w:val="center"/>
        <w:rPr>
          <w:rFonts w:ascii="宋体" w:eastAsia="宋体" w:hAnsi="宋体" w:cs="宋体" w:hint="eastAsia"/>
          <w:color w:val="000000"/>
          <w:kern w:val="0"/>
          <w:sz w:val="20"/>
          <w:szCs w:val="20"/>
        </w:rPr>
      </w:pPr>
      <w:r w:rsidRPr="00EB64F9">
        <w:rPr>
          <w:rFonts w:ascii="宋体" w:eastAsia="宋体" w:hAnsi="宋体" w:cs="宋体" w:hint="eastAsia"/>
          <w:b/>
          <w:bCs/>
          <w:color w:val="000000"/>
          <w:kern w:val="0"/>
          <w:sz w:val="20"/>
          <w:szCs w:val="20"/>
        </w:rPr>
        <w:t> </w:t>
      </w:r>
    </w:p>
    <w:p w:rsidR="00EB64F9" w:rsidRPr="00EB64F9" w:rsidRDefault="00EB64F9" w:rsidP="00EB64F9">
      <w:pPr>
        <w:widowControl/>
        <w:spacing w:line="640" w:lineRule="atLeast"/>
        <w:jc w:val="right"/>
        <w:rPr>
          <w:rFonts w:ascii="宋体" w:eastAsia="宋体" w:hAnsi="宋体" w:cs="宋体" w:hint="eastAsia"/>
          <w:color w:val="000000"/>
          <w:kern w:val="0"/>
          <w:sz w:val="20"/>
          <w:szCs w:val="20"/>
        </w:rPr>
      </w:pPr>
      <w:r w:rsidRPr="00EB64F9">
        <w:rPr>
          <w:rFonts w:ascii="宋体" w:eastAsia="宋体" w:hAnsi="宋体" w:cs="宋体" w:hint="eastAsia"/>
          <w:color w:val="000000"/>
          <w:kern w:val="0"/>
          <w:sz w:val="32"/>
          <w:szCs w:val="32"/>
        </w:rPr>
        <w:t>                                 福 州 大 学</w:t>
      </w:r>
    </w:p>
    <w:p w:rsidR="00EB64F9" w:rsidRPr="00EB64F9" w:rsidRDefault="00EB64F9" w:rsidP="00EB64F9">
      <w:pPr>
        <w:widowControl/>
        <w:spacing w:line="640" w:lineRule="atLeast"/>
        <w:jc w:val="right"/>
        <w:rPr>
          <w:rFonts w:ascii="宋体" w:eastAsia="宋体" w:hAnsi="宋体" w:cs="宋体" w:hint="eastAsia"/>
          <w:color w:val="000000"/>
          <w:kern w:val="0"/>
          <w:sz w:val="20"/>
          <w:szCs w:val="20"/>
        </w:rPr>
      </w:pPr>
      <w:r w:rsidRPr="00EB64F9">
        <w:rPr>
          <w:rFonts w:ascii="宋体" w:eastAsia="宋体" w:hAnsi="宋体" w:cs="宋体" w:hint="eastAsia"/>
          <w:color w:val="000000"/>
          <w:kern w:val="0"/>
          <w:sz w:val="32"/>
          <w:szCs w:val="32"/>
        </w:rPr>
        <w:t>                                2017年11月7日</w:t>
      </w:r>
    </w:p>
    <w:p w:rsidR="00EB64F9" w:rsidRPr="00EB64F9" w:rsidRDefault="00EB64F9" w:rsidP="00EB64F9">
      <w:pPr>
        <w:widowControl/>
        <w:jc w:val="left"/>
        <w:rPr>
          <w:rFonts w:ascii="宋体" w:eastAsia="宋体" w:hAnsi="宋体" w:cs="宋体" w:hint="eastAsia"/>
          <w:color w:val="000000"/>
          <w:kern w:val="0"/>
          <w:sz w:val="20"/>
          <w:szCs w:val="20"/>
        </w:rPr>
      </w:pPr>
      <w:r w:rsidRPr="00EB64F9">
        <w:rPr>
          <w:rFonts w:ascii="宋体" w:eastAsia="宋体" w:hAnsi="宋体" w:cs="宋体" w:hint="eastAsia"/>
          <w:color w:val="000000"/>
          <w:kern w:val="0"/>
          <w:sz w:val="44"/>
          <w:szCs w:val="44"/>
        </w:rPr>
        <w:br w:type="textWrapping" w:clear="all"/>
      </w:r>
    </w:p>
    <w:p w:rsidR="00EB64F9" w:rsidRPr="00EB64F9" w:rsidRDefault="00EB64F9" w:rsidP="00EB64F9">
      <w:pPr>
        <w:widowControl/>
        <w:shd w:val="clear" w:color="auto" w:fill="FFFFFF"/>
        <w:spacing w:line="640" w:lineRule="atLeast"/>
        <w:jc w:val="center"/>
        <w:rPr>
          <w:rFonts w:ascii="宋体" w:eastAsia="宋体" w:hAnsi="宋体" w:cs="宋体" w:hint="eastAsia"/>
          <w:color w:val="000000"/>
          <w:kern w:val="0"/>
          <w:sz w:val="20"/>
          <w:szCs w:val="20"/>
        </w:rPr>
      </w:pPr>
      <w:r w:rsidRPr="00EB64F9">
        <w:rPr>
          <w:rFonts w:ascii="宋体" w:eastAsia="宋体" w:hAnsi="宋体" w:cs="宋体" w:hint="eastAsia"/>
          <w:color w:val="000000"/>
          <w:spacing w:val="-6"/>
          <w:kern w:val="0"/>
          <w:sz w:val="44"/>
          <w:szCs w:val="44"/>
        </w:rPr>
        <w:t>福州大学培训费管理实施细则</w:t>
      </w:r>
    </w:p>
    <w:p w:rsidR="00EB64F9" w:rsidRPr="00EB64F9" w:rsidRDefault="00EB64F9" w:rsidP="00EB64F9">
      <w:pPr>
        <w:widowControl/>
        <w:shd w:val="clear" w:color="auto" w:fill="FFFFFF"/>
        <w:spacing w:line="640" w:lineRule="atLeast"/>
        <w:jc w:val="center"/>
        <w:rPr>
          <w:rFonts w:ascii="宋体" w:eastAsia="宋体" w:hAnsi="宋体" w:cs="宋体" w:hint="eastAsia"/>
          <w:color w:val="000000"/>
          <w:kern w:val="0"/>
          <w:sz w:val="20"/>
          <w:szCs w:val="20"/>
        </w:rPr>
      </w:pPr>
      <w:r w:rsidRPr="00EB64F9">
        <w:rPr>
          <w:rFonts w:ascii="宋体" w:eastAsia="宋体" w:hAnsi="宋体" w:cs="宋体" w:hint="eastAsia"/>
          <w:color w:val="000000"/>
          <w:kern w:val="0"/>
          <w:sz w:val="20"/>
          <w:szCs w:val="20"/>
        </w:rPr>
        <w:t> </w:t>
      </w:r>
    </w:p>
    <w:p w:rsidR="00EB64F9" w:rsidRPr="00EB64F9" w:rsidRDefault="00EB64F9" w:rsidP="00EB64F9">
      <w:pPr>
        <w:widowControl/>
        <w:shd w:val="clear" w:color="auto" w:fill="FFFFFF"/>
        <w:spacing w:line="640" w:lineRule="atLeast"/>
        <w:jc w:val="center"/>
        <w:rPr>
          <w:rFonts w:ascii="宋体" w:eastAsia="宋体" w:hAnsi="宋体" w:cs="宋体" w:hint="eastAsia"/>
          <w:color w:val="000000"/>
          <w:kern w:val="0"/>
          <w:sz w:val="20"/>
          <w:szCs w:val="20"/>
        </w:rPr>
      </w:pPr>
      <w:r w:rsidRPr="00EB64F9">
        <w:rPr>
          <w:rFonts w:ascii="宋体" w:eastAsia="宋体" w:hAnsi="宋体" w:cs="宋体" w:hint="eastAsia"/>
          <w:color w:val="000000"/>
          <w:spacing w:val="-6"/>
          <w:kern w:val="0"/>
          <w:sz w:val="32"/>
          <w:szCs w:val="32"/>
        </w:rPr>
        <w:t>第一章 总 则</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第一条 </w:t>
      </w:r>
      <w:r w:rsidRPr="00EB64F9">
        <w:rPr>
          <w:rFonts w:ascii="宋体" w:eastAsia="宋体" w:hAnsi="宋体" w:cs="宋体" w:hint="eastAsia"/>
          <w:color w:val="000000"/>
          <w:spacing w:val="-4"/>
          <w:kern w:val="0"/>
          <w:sz w:val="32"/>
          <w:szCs w:val="32"/>
        </w:rPr>
        <w:t>根据《福建省省直机关培训费管理办法》（闽财行〔2017〕18号），特对本细则进行修订。</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第二条</w:t>
      </w:r>
      <w:r w:rsidRPr="00EB64F9">
        <w:rPr>
          <w:rFonts w:ascii="宋体" w:eastAsia="宋体" w:hAnsi="宋体" w:cs="宋体" w:hint="eastAsia"/>
          <w:color w:val="000000"/>
          <w:spacing w:val="-4"/>
          <w:kern w:val="0"/>
          <w:sz w:val="32"/>
          <w:szCs w:val="32"/>
        </w:rPr>
        <w:t> 本实施细则适用，全校各级单位举办、承办的各类培训。</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lastRenderedPageBreak/>
        <w:t>第三条</w:t>
      </w:r>
      <w:r w:rsidRPr="00EB64F9">
        <w:rPr>
          <w:rFonts w:ascii="宋体" w:eastAsia="宋体" w:hAnsi="宋体" w:cs="宋体" w:hint="eastAsia"/>
          <w:color w:val="000000"/>
          <w:spacing w:val="-4"/>
          <w:kern w:val="0"/>
          <w:sz w:val="32"/>
          <w:szCs w:val="32"/>
        </w:rPr>
        <w:t> 本实施细则所称的培训，是指由我校各单位主办的短期的岗位培训、任职培训、专门业务培训、初任培训等。针对校内师生员工举办的培训，原则上安排在校内进行。</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第四条</w:t>
      </w:r>
      <w:r w:rsidRPr="00EB64F9">
        <w:rPr>
          <w:rFonts w:ascii="宋体" w:eastAsia="宋体" w:hAnsi="宋体" w:cs="宋体" w:hint="eastAsia"/>
          <w:color w:val="000000"/>
          <w:spacing w:val="-4"/>
          <w:kern w:val="0"/>
          <w:sz w:val="32"/>
          <w:szCs w:val="32"/>
        </w:rPr>
        <w:t> 各单位举办培训应当坚持厉行节约、反对浪费的原则，遵从单位内部统一管理，增强针对性和实效性，保证培训质量，节约培训资源，提高培训经费使用效益。</w:t>
      </w:r>
    </w:p>
    <w:p w:rsidR="00EB64F9" w:rsidRPr="00EB64F9" w:rsidRDefault="00EB64F9" w:rsidP="00EB64F9">
      <w:pPr>
        <w:widowControl/>
        <w:shd w:val="clear" w:color="auto" w:fill="FFFFFF"/>
        <w:spacing w:line="640" w:lineRule="atLeast"/>
        <w:jc w:val="center"/>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第二章 培训费预算申报审批程序</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第五条 </w:t>
      </w:r>
      <w:r w:rsidRPr="00EB64F9">
        <w:rPr>
          <w:rFonts w:ascii="宋体" w:eastAsia="宋体" w:hAnsi="宋体" w:cs="宋体" w:hint="eastAsia"/>
          <w:color w:val="000000"/>
          <w:spacing w:val="-4"/>
          <w:kern w:val="0"/>
          <w:sz w:val="32"/>
          <w:szCs w:val="32"/>
        </w:rPr>
        <w:t>培</w:t>
      </w:r>
      <w:r w:rsidRPr="00EB64F9">
        <w:rPr>
          <w:rFonts w:ascii="宋体" w:eastAsia="宋体" w:hAnsi="宋体" w:cs="宋体" w:hint="eastAsia"/>
          <w:color w:val="000000"/>
          <w:spacing w:val="-6"/>
          <w:kern w:val="0"/>
          <w:sz w:val="32"/>
          <w:szCs w:val="32"/>
        </w:rPr>
        <w:t>训费应纳入部门、学院年度综合预算。培训举办、承办单位应事先填写培训费预算表，需列明培训的名称、主要内容、时间、地点、参训人数、工作人员数、所需经费及列支渠道等。</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预算在10万元以内，由部门或学院负责人审批。</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预</w:t>
      </w:r>
      <w:r w:rsidRPr="00EB64F9">
        <w:rPr>
          <w:rFonts w:ascii="宋体" w:eastAsia="宋体" w:hAnsi="宋体" w:cs="宋体" w:hint="eastAsia"/>
          <w:color w:val="000000"/>
          <w:spacing w:val="-10"/>
          <w:kern w:val="0"/>
          <w:sz w:val="32"/>
          <w:szCs w:val="32"/>
        </w:rPr>
        <w:t>算超过10万元，由部门分管校领导或联系学院的校领导审批。</w:t>
      </w:r>
    </w:p>
    <w:p w:rsidR="00EB64F9" w:rsidRPr="00EB64F9" w:rsidRDefault="00EB64F9" w:rsidP="00EB64F9">
      <w:pPr>
        <w:widowControl/>
        <w:shd w:val="clear" w:color="auto" w:fill="FFFFFF"/>
        <w:spacing w:line="640" w:lineRule="atLeast"/>
        <w:jc w:val="center"/>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第三章 培训费开支范围和报销标准</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第六条</w:t>
      </w:r>
      <w:r w:rsidRPr="00EB64F9">
        <w:rPr>
          <w:rFonts w:ascii="宋体" w:eastAsia="宋体" w:hAnsi="宋体" w:cs="宋体" w:hint="eastAsia"/>
          <w:color w:val="000000"/>
          <w:spacing w:val="-4"/>
          <w:kern w:val="0"/>
          <w:sz w:val="32"/>
          <w:szCs w:val="32"/>
        </w:rPr>
        <w:t> 培训费是指各单位开展培训直接发生的各项费用支出，包括师资费、住宿费、伙食费、培训场地费、培训资料费、交通费以及其他费用。</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（一）师资费是指聘请师资授课发生的费用，包括授课老师讲课费、住宿费、伙食费、城市间交通费等。</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lastRenderedPageBreak/>
        <w:t>（二）住宿费是指参训人员及工作人员培训期间发生的租住房间的费用。</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（三）伙食费是指参训人员及工作人员培训期间发生的用餐费用。</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（四）培训场地费是指用于培训的会议室或教室租金。</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（五）培训资料费是指培训期间必要的资料及办公用品费。</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（六）交通费是指用于培训所需的人员接送以及与培训有关的考察、调研等发生的交通支出。</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（七）其他费用是指现场教学费、设备租赁费、文体活动费、医药费等与培训有关的其他支出。</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参训人员参加培训往返及异地教学发生的城市间交通费，按照差旅费管理办法的规定回所在单位报销。</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第七条</w:t>
      </w:r>
      <w:r w:rsidRPr="00EB64F9">
        <w:rPr>
          <w:rFonts w:ascii="宋体" w:eastAsia="宋体" w:hAnsi="宋体" w:cs="宋体" w:hint="eastAsia"/>
          <w:color w:val="000000"/>
          <w:spacing w:val="-4"/>
          <w:kern w:val="0"/>
          <w:sz w:val="32"/>
          <w:szCs w:val="32"/>
        </w:rPr>
        <w:t> 除师资费外，培训费实行分类综合定额标准，分项核定、总额控制，各项费用之间可以调剂使用。对于未发生的事项，报销额度上限应按明细标准进行相应扣减。</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培训费综合定额标准如下：</w:t>
      </w:r>
    </w:p>
    <w:tbl>
      <w:tblPr>
        <w:tblW w:w="0" w:type="auto"/>
        <w:jc w:val="center"/>
        <w:tblCellMar>
          <w:left w:w="0" w:type="dxa"/>
          <w:right w:w="0" w:type="dxa"/>
        </w:tblCellMar>
        <w:tblLook w:val="04A0" w:firstRow="1" w:lastRow="0" w:firstColumn="1" w:lastColumn="0" w:noHBand="0" w:noVBand="1"/>
      </w:tblPr>
      <w:tblGrid>
        <w:gridCol w:w="1328"/>
        <w:gridCol w:w="997"/>
        <w:gridCol w:w="997"/>
        <w:gridCol w:w="2658"/>
        <w:gridCol w:w="1329"/>
        <w:gridCol w:w="997"/>
      </w:tblGrid>
      <w:tr w:rsidR="00EB64F9" w:rsidRPr="00EB64F9" w:rsidTr="00EB64F9">
        <w:trPr>
          <w:trHeight w:val="1"/>
          <w:jc w:val="center"/>
        </w:trPr>
        <w:tc>
          <w:tcPr>
            <w:tcW w:w="5000" w:type="pct"/>
            <w:gridSpan w:val="6"/>
            <w:tcBorders>
              <w:top w:val="nil"/>
              <w:left w:val="nil"/>
              <w:bottom w:val="single" w:sz="8" w:space="0" w:color="000000"/>
              <w:right w:val="nil"/>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ind w:firstLine="5616"/>
              <w:jc w:val="left"/>
              <w:divId w:val="1957323872"/>
              <w:rPr>
                <w:rFonts w:ascii="宋体" w:eastAsia="宋体" w:hAnsi="宋体" w:cs="宋体" w:hint="eastAsia"/>
                <w:kern w:val="0"/>
                <w:sz w:val="24"/>
                <w:szCs w:val="24"/>
              </w:rPr>
            </w:pPr>
            <w:r w:rsidRPr="00EB64F9">
              <w:rPr>
                <w:rFonts w:ascii="宋体" w:eastAsia="宋体" w:hAnsi="宋体" w:cs="宋体"/>
                <w:color w:val="000000"/>
                <w:spacing w:val="-4"/>
                <w:kern w:val="0"/>
                <w:sz w:val="32"/>
                <w:szCs w:val="32"/>
              </w:rPr>
              <w:t>单位：元/人天</w:t>
            </w:r>
          </w:p>
        </w:tc>
      </w:tr>
      <w:tr w:rsidR="00EB64F9" w:rsidRPr="00EB64F9" w:rsidTr="00EB64F9">
        <w:trPr>
          <w:trHeight w:val="567"/>
          <w:jc w:val="center"/>
        </w:trPr>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培训类别</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住宿费</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伙食费</w:t>
            </w:r>
          </w:p>
        </w:tc>
        <w:tc>
          <w:tcPr>
            <w:tcW w:w="1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场地、资料、交通费</w:t>
            </w:r>
          </w:p>
        </w:tc>
        <w:tc>
          <w:tcPr>
            <w:tcW w:w="8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其他费用</w:t>
            </w:r>
          </w:p>
        </w:tc>
        <w:tc>
          <w:tcPr>
            <w:tcW w:w="4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合计</w:t>
            </w:r>
          </w:p>
        </w:tc>
      </w:tr>
      <w:tr w:rsidR="00EB64F9" w:rsidRPr="00EB64F9" w:rsidTr="00EB64F9">
        <w:trPr>
          <w:trHeight w:val="567"/>
          <w:jc w:val="center"/>
        </w:trPr>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一类培训</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360</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150</w:t>
            </w:r>
          </w:p>
        </w:tc>
        <w:tc>
          <w:tcPr>
            <w:tcW w:w="1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70</w:t>
            </w:r>
          </w:p>
        </w:tc>
        <w:tc>
          <w:tcPr>
            <w:tcW w:w="8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20</w:t>
            </w:r>
          </w:p>
        </w:tc>
        <w:tc>
          <w:tcPr>
            <w:tcW w:w="4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600</w:t>
            </w:r>
          </w:p>
        </w:tc>
      </w:tr>
      <w:tr w:rsidR="00EB64F9" w:rsidRPr="00EB64F9" w:rsidTr="00EB64F9">
        <w:trPr>
          <w:trHeight w:val="567"/>
          <w:jc w:val="center"/>
        </w:trPr>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lastRenderedPageBreak/>
              <w:t>二类培训</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300</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130</w:t>
            </w:r>
          </w:p>
        </w:tc>
        <w:tc>
          <w:tcPr>
            <w:tcW w:w="1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50</w:t>
            </w:r>
          </w:p>
        </w:tc>
        <w:tc>
          <w:tcPr>
            <w:tcW w:w="8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20</w:t>
            </w:r>
          </w:p>
        </w:tc>
        <w:tc>
          <w:tcPr>
            <w:tcW w:w="4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500</w:t>
            </w:r>
          </w:p>
        </w:tc>
      </w:tr>
      <w:tr w:rsidR="00EB64F9" w:rsidRPr="00EB64F9" w:rsidTr="00EB64F9">
        <w:trPr>
          <w:trHeight w:val="567"/>
          <w:jc w:val="center"/>
        </w:trPr>
        <w:tc>
          <w:tcPr>
            <w:tcW w:w="800" w:type="pct"/>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三类培训</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270</w:t>
            </w:r>
          </w:p>
        </w:tc>
        <w:tc>
          <w:tcPr>
            <w:tcW w:w="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130</w:t>
            </w:r>
          </w:p>
        </w:tc>
        <w:tc>
          <w:tcPr>
            <w:tcW w:w="16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30</w:t>
            </w:r>
          </w:p>
        </w:tc>
        <w:tc>
          <w:tcPr>
            <w:tcW w:w="80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20</w:t>
            </w:r>
          </w:p>
        </w:tc>
        <w:tc>
          <w:tcPr>
            <w:tcW w:w="450" w:type="pct"/>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EB64F9" w:rsidRPr="00EB64F9" w:rsidRDefault="00EB64F9" w:rsidP="00EB64F9">
            <w:pPr>
              <w:widowControl/>
              <w:shd w:val="clear" w:color="auto" w:fill="FFFFFF"/>
              <w:spacing w:line="640" w:lineRule="atLeast"/>
              <w:jc w:val="center"/>
              <w:rPr>
                <w:rFonts w:ascii="宋体" w:eastAsia="宋体" w:hAnsi="宋体" w:cs="宋体"/>
                <w:kern w:val="0"/>
                <w:sz w:val="24"/>
                <w:szCs w:val="24"/>
              </w:rPr>
            </w:pPr>
            <w:r w:rsidRPr="00EB64F9">
              <w:rPr>
                <w:rFonts w:ascii="宋体" w:eastAsia="宋体" w:hAnsi="宋体" w:cs="宋体"/>
                <w:color w:val="000000"/>
                <w:spacing w:val="-6"/>
                <w:kern w:val="0"/>
                <w:sz w:val="28"/>
                <w:szCs w:val="28"/>
              </w:rPr>
              <w:t>450</w:t>
            </w:r>
          </w:p>
        </w:tc>
      </w:tr>
    </w:tbl>
    <w:p w:rsidR="00EB64F9" w:rsidRPr="00EB64F9" w:rsidRDefault="00EB64F9" w:rsidP="00EB64F9">
      <w:pPr>
        <w:widowControl/>
        <w:shd w:val="clear" w:color="auto" w:fill="FFFFFF"/>
        <w:spacing w:line="640" w:lineRule="atLeast"/>
        <w:ind w:firstLine="624"/>
        <w:jc w:val="left"/>
        <w:rPr>
          <w:rFonts w:ascii="宋体" w:eastAsia="宋体" w:hAnsi="宋体" w:cs="宋体"/>
          <w:color w:val="000000"/>
          <w:kern w:val="0"/>
          <w:sz w:val="20"/>
          <w:szCs w:val="20"/>
        </w:rPr>
      </w:pPr>
      <w:r w:rsidRPr="00EB64F9">
        <w:rPr>
          <w:rFonts w:ascii="宋体" w:eastAsia="宋体" w:hAnsi="宋体" w:cs="宋体" w:hint="eastAsia"/>
          <w:color w:val="000000"/>
          <w:spacing w:val="-4"/>
          <w:kern w:val="0"/>
          <w:sz w:val="32"/>
          <w:szCs w:val="32"/>
        </w:rPr>
        <w:t>一类培训是指参训人员主要为厅级或正高级职称人员的培训项目。</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二类培训是指参训人员主要为处级或副高级职称人员的培训项目。</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三类培训是指参训人员主要为科级或中级职称及以下人员的培训项目。以其他人员为主的培训项目参照上述标准分类执行。</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综合定额标准是培训费开支的上限，各项费用之间可以调剂使用,培训费用支出结构应合理、据实列支,各单位应在综合定额标准以内结算报销。在校内组织的内部培训,原则上不安排伙食费、住宿费。部门或学院组织外出培训,必须经过分管或联系校领导批准。</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30天以内的培训按照综合定额标准控制；超过30天的培训，超过天数按照综合定额标准的70%控制。上述天数含报到撤离时间，报到和撤离时间分别不得超过1天。</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第八条</w:t>
      </w:r>
      <w:r w:rsidRPr="00EB64F9">
        <w:rPr>
          <w:rFonts w:ascii="宋体" w:eastAsia="宋体" w:hAnsi="宋体" w:cs="宋体" w:hint="eastAsia"/>
          <w:color w:val="000000"/>
          <w:spacing w:val="-4"/>
          <w:kern w:val="0"/>
          <w:sz w:val="32"/>
          <w:szCs w:val="32"/>
        </w:rPr>
        <w:t> 师资费在综合定额标准外单独核算。</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（一）讲课费（税后）原则上执行以下标准：</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1.院士、全国知名专家（或省部级及以上干部）每学时一般不超过1500元。</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lastRenderedPageBreak/>
        <w:t>2.正高级技术职称专业人员（或厅局级干部）每学时最高不超过1000元。</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3.副高级技术职称专业人员（或处级干部）每学时最高不超过500元。</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4.中级技术职称专业人员或科级干部及以下人员每学时最高不超过400元。</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其他人员讲课参照上述标准执行。</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讲课费按实际发生的学时计算，每半天最多按4学时、每学时为45分钟计算。</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为</w:t>
      </w:r>
      <w:r w:rsidRPr="00EB64F9">
        <w:rPr>
          <w:rFonts w:ascii="宋体" w:eastAsia="宋体" w:hAnsi="宋体" w:cs="宋体" w:hint="eastAsia"/>
          <w:color w:val="000000"/>
          <w:spacing w:val="-8"/>
          <w:kern w:val="0"/>
          <w:sz w:val="32"/>
          <w:szCs w:val="32"/>
        </w:rPr>
        <w:t>本单位举办的培训班授课，讲课费按照上述标准的50%领取。</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同时为多班次一并授课的，不重复计算讲课费。</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（二）授课老师的城市间交通费按照差旅费管理办法有关规定和标准执行，住宿费、伙食费按照本办法标准执行，原则上由培训举办单位承担。</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（三）培训工作确有需要从异地（含境外）邀请授课老师，路途时间较长的，经部门分管校领导或学院联系校领导签批，讲课费可以适当增加。</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第九条 </w:t>
      </w:r>
      <w:r w:rsidRPr="00EB64F9">
        <w:rPr>
          <w:rFonts w:ascii="宋体" w:eastAsia="宋体" w:hAnsi="宋体" w:cs="宋体" w:hint="eastAsia"/>
          <w:color w:val="000000"/>
          <w:spacing w:val="-4"/>
          <w:kern w:val="0"/>
          <w:sz w:val="32"/>
          <w:szCs w:val="32"/>
        </w:rPr>
        <w:t>各单位在培训结束后应当及时汇总票据，集中办理报销手续。培训费在开支范围内凭发票报销，票据日期应在培训期间。财务部门要严格按规定审核培训费开支，对</w:t>
      </w:r>
      <w:r w:rsidRPr="00EB64F9">
        <w:rPr>
          <w:rFonts w:ascii="宋体" w:eastAsia="宋体" w:hAnsi="宋体" w:cs="宋体" w:hint="eastAsia"/>
          <w:color w:val="000000"/>
          <w:spacing w:val="-4"/>
          <w:kern w:val="0"/>
          <w:sz w:val="32"/>
          <w:szCs w:val="32"/>
        </w:rPr>
        <w:lastRenderedPageBreak/>
        <w:t>未履行审批备案程序的培训，以及超范围、超标准开支的费用不予报销。</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第十条 </w:t>
      </w:r>
      <w:r w:rsidRPr="00EB64F9">
        <w:rPr>
          <w:rFonts w:ascii="宋体" w:eastAsia="宋体" w:hAnsi="宋体" w:cs="宋体" w:hint="eastAsia"/>
          <w:color w:val="000000"/>
          <w:spacing w:val="-4"/>
          <w:kern w:val="0"/>
          <w:sz w:val="32"/>
          <w:szCs w:val="32"/>
        </w:rPr>
        <w:t>培训费报销附件应包括：</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（一）经批准的培训预算表。</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（二）培训通知。</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（三）实际参训人员签到表。</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（四）费用原始明细单据（如通过会议中心组织培训，还须附与会议中心签订的委托协议或合同等相关资料）。</w:t>
      </w:r>
    </w:p>
    <w:p w:rsidR="00EB64F9" w:rsidRPr="00EB64F9" w:rsidRDefault="00EB64F9" w:rsidP="00EB64F9">
      <w:pPr>
        <w:widowControl/>
        <w:shd w:val="clear" w:color="auto" w:fill="FFFFFF"/>
        <w:spacing w:line="640" w:lineRule="atLeast"/>
        <w:jc w:val="center"/>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第四章 培训组织</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第十一条</w:t>
      </w:r>
      <w:r w:rsidRPr="00EB64F9">
        <w:rPr>
          <w:rFonts w:ascii="宋体" w:eastAsia="宋体" w:hAnsi="宋体" w:cs="宋体" w:hint="eastAsia"/>
          <w:color w:val="000000"/>
          <w:spacing w:val="-4"/>
          <w:kern w:val="0"/>
          <w:sz w:val="32"/>
          <w:szCs w:val="32"/>
        </w:rPr>
        <w:t> 各单位开展培训应当在开支范围和标准内，优先选择本校资源承担培训项目。</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第十二条</w:t>
      </w:r>
      <w:r w:rsidRPr="00EB64F9">
        <w:rPr>
          <w:rFonts w:ascii="宋体" w:eastAsia="宋体" w:hAnsi="宋体" w:cs="宋体" w:hint="eastAsia"/>
          <w:color w:val="000000"/>
          <w:spacing w:val="-4"/>
          <w:kern w:val="0"/>
          <w:sz w:val="32"/>
          <w:szCs w:val="32"/>
        </w:rPr>
        <w:t> 组织培训的工作人员控制在参训人员数量的8%以内，最多不超过10人。</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第十三条</w:t>
      </w:r>
      <w:r w:rsidRPr="00EB64F9">
        <w:rPr>
          <w:rFonts w:ascii="宋体" w:eastAsia="宋体" w:hAnsi="宋体" w:cs="宋体" w:hint="eastAsia"/>
          <w:color w:val="000000"/>
          <w:spacing w:val="-4"/>
          <w:kern w:val="0"/>
          <w:sz w:val="32"/>
          <w:szCs w:val="32"/>
        </w:rPr>
        <w:t> 严禁借培训名义安排公款旅游；严禁借培训名义组织会餐或安排宴请；严禁组织高消费娱乐、健身活动；严禁使用培训费购置电脑、复印机、打印机、传真机等固定资产以及开支与培训无关的其他费用；严禁在培训费中列支公务接待费、会议费；严禁套取培训费设立“小金库”。</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第十四条</w:t>
      </w:r>
      <w:r w:rsidRPr="00EB64F9">
        <w:rPr>
          <w:rFonts w:ascii="宋体" w:eastAsia="宋体" w:hAnsi="宋体" w:cs="宋体" w:hint="eastAsia"/>
          <w:color w:val="000000"/>
          <w:spacing w:val="-4"/>
          <w:kern w:val="0"/>
          <w:sz w:val="32"/>
          <w:szCs w:val="32"/>
        </w:rPr>
        <w:t> 培训住宿不得安排高档套房，不得额外配发洗漱用品；培训用餐不得提供高档菜肴、高档酒水和香烟；</w:t>
      </w:r>
      <w:r w:rsidRPr="00EB64F9">
        <w:rPr>
          <w:rFonts w:ascii="宋体" w:eastAsia="宋体" w:hAnsi="宋体" w:cs="宋体" w:hint="eastAsia"/>
          <w:color w:val="000000"/>
          <w:spacing w:val="-4"/>
          <w:kern w:val="0"/>
          <w:sz w:val="32"/>
          <w:szCs w:val="32"/>
        </w:rPr>
        <w:lastRenderedPageBreak/>
        <w:t>除必要的现场教学外，7日以内的培训不得组织调研、考察、参观。</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第十五条 </w:t>
      </w:r>
      <w:r w:rsidRPr="00EB64F9">
        <w:rPr>
          <w:rFonts w:ascii="宋体" w:eastAsia="宋体" w:hAnsi="宋体" w:cs="宋体" w:hint="eastAsia"/>
          <w:color w:val="000000"/>
          <w:spacing w:val="-4"/>
          <w:kern w:val="0"/>
          <w:sz w:val="32"/>
          <w:szCs w:val="32"/>
        </w:rPr>
        <w:t>邀请境外师资讲课，须严格按照有关外事管理规定，经校对外交流处领导签批，履行审批手续。境内师资能够满足培训需要的，不得邀请境外师资。</w:t>
      </w:r>
    </w:p>
    <w:p w:rsidR="00EB64F9" w:rsidRPr="00EB64F9" w:rsidRDefault="00EB64F9" w:rsidP="00EB64F9">
      <w:pPr>
        <w:widowControl/>
        <w:shd w:val="clear" w:color="auto" w:fill="FFFFFF"/>
        <w:spacing w:line="640" w:lineRule="atLeast"/>
        <w:jc w:val="center"/>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第五章 监督管理</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第十六条</w:t>
      </w:r>
      <w:r w:rsidRPr="00EB64F9">
        <w:rPr>
          <w:rFonts w:ascii="宋体" w:eastAsia="宋体" w:hAnsi="宋体" w:cs="宋体" w:hint="eastAsia"/>
          <w:color w:val="000000"/>
          <w:spacing w:val="-4"/>
          <w:kern w:val="0"/>
          <w:sz w:val="32"/>
          <w:szCs w:val="32"/>
        </w:rPr>
        <w:t> 各单位对其所举、承办的培训承担监管责任，培训所使用经费的项目负责人承担直接责任。相关责任人应切实加强培训费的管理，严禁列支与培训无关的费用。</w:t>
      </w:r>
    </w:p>
    <w:p w:rsidR="00EB64F9" w:rsidRPr="00EB64F9" w:rsidRDefault="00EB64F9" w:rsidP="00EB64F9">
      <w:pPr>
        <w:widowControl/>
        <w:shd w:val="clear" w:color="auto" w:fill="FFFFFF"/>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第十七条</w:t>
      </w:r>
      <w:r w:rsidRPr="00EB64F9">
        <w:rPr>
          <w:rFonts w:ascii="宋体" w:eastAsia="宋体" w:hAnsi="宋体" w:cs="宋体" w:hint="eastAsia"/>
          <w:color w:val="000000"/>
          <w:spacing w:val="-4"/>
          <w:kern w:val="0"/>
          <w:sz w:val="32"/>
          <w:szCs w:val="32"/>
        </w:rPr>
        <w:t> 培训费应遵循“收支两条线”的原则，未及时上缴学校而形成“小金库”及其他违反财经纪律的行为，由项目负责人承担责任。对于弄虚作假、举办虚假培训，虚增培训支出套取现金等违法违规行为，应按照有关规定严肃处理。</w:t>
      </w:r>
    </w:p>
    <w:p w:rsidR="00EB64F9" w:rsidRPr="00EB64F9" w:rsidRDefault="00EB64F9" w:rsidP="00EB64F9">
      <w:pPr>
        <w:widowControl/>
        <w:shd w:val="clear" w:color="auto" w:fill="FFFFFF"/>
        <w:spacing w:line="640" w:lineRule="atLeast"/>
        <w:jc w:val="center"/>
        <w:rPr>
          <w:rFonts w:ascii="宋体" w:eastAsia="宋体" w:hAnsi="宋体" w:cs="宋体" w:hint="eastAsia"/>
          <w:color w:val="000000"/>
          <w:kern w:val="0"/>
          <w:sz w:val="20"/>
          <w:szCs w:val="20"/>
        </w:rPr>
      </w:pPr>
      <w:r w:rsidRPr="00EB64F9">
        <w:rPr>
          <w:rFonts w:ascii="宋体" w:eastAsia="宋体" w:hAnsi="宋体" w:cs="宋体" w:hint="eastAsia"/>
          <w:color w:val="000000"/>
          <w:spacing w:val="-4"/>
          <w:kern w:val="0"/>
          <w:sz w:val="32"/>
          <w:szCs w:val="32"/>
        </w:rPr>
        <w:t>第六章 附 则</w:t>
      </w:r>
    </w:p>
    <w:p w:rsidR="00EB64F9" w:rsidRPr="00EB64F9" w:rsidRDefault="00EB64F9" w:rsidP="00EB64F9">
      <w:pPr>
        <w:widowControl/>
        <w:spacing w:line="640" w:lineRule="atLeast"/>
        <w:ind w:firstLine="624"/>
        <w:jc w:val="left"/>
        <w:rPr>
          <w:rFonts w:ascii="宋体" w:eastAsia="宋体" w:hAnsi="宋体" w:cs="宋体" w:hint="eastAsia"/>
          <w:color w:val="000000"/>
          <w:kern w:val="0"/>
          <w:sz w:val="20"/>
          <w:szCs w:val="20"/>
        </w:rPr>
      </w:pPr>
      <w:r w:rsidRPr="00EB64F9">
        <w:rPr>
          <w:rFonts w:ascii="宋体" w:eastAsia="宋体" w:hAnsi="宋体" w:cs="宋体" w:hint="eastAsia"/>
          <w:b/>
          <w:bCs/>
          <w:color w:val="000000"/>
          <w:spacing w:val="-4"/>
          <w:kern w:val="0"/>
          <w:sz w:val="32"/>
          <w:szCs w:val="32"/>
        </w:rPr>
        <w:t>第十八条</w:t>
      </w:r>
      <w:r w:rsidRPr="00EB64F9">
        <w:rPr>
          <w:rFonts w:ascii="宋体" w:eastAsia="宋体" w:hAnsi="宋体" w:cs="宋体" w:hint="eastAsia"/>
          <w:color w:val="000000"/>
          <w:kern w:val="0"/>
          <w:sz w:val="20"/>
          <w:szCs w:val="20"/>
        </w:rPr>
        <w:t> </w:t>
      </w:r>
      <w:r w:rsidRPr="00EB64F9">
        <w:rPr>
          <w:rFonts w:ascii="宋体" w:eastAsia="宋体" w:hAnsi="宋体" w:cs="宋体" w:hint="eastAsia"/>
          <w:color w:val="000000"/>
          <w:spacing w:val="-4"/>
          <w:kern w:val="0"/>
          <w:sz w:val="32"/>
          <w:szCs w:val="32"/>
        </w:rPr>
        <w:t>本实施细则自发布之日起施行，由计财处负责解释。原《福州大学培训费管理实施细则》（福大财〔2017〕7号）同时废止。</w:t>
      </w:r>
    </w:p>
    <w:p w:rsidR="00EB64F9" w:rsidRDefault="00EB64F9" w:rsidP="00EB64F9">
      <w:pPr>
        <w:jc w:val="center"/>
        <w:rPr>
          <w:rFonts w:hint="eastAsia"/>
        </w:rPr>
      </w:pPr>
    </w:p>
    <w:sectPr w:rsidR="00EB64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4F9"/>
    <w:rsid w:val="00E62D91"/>
    <w:rsid w:val="00EB6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A79B3"/>
  <w15:chartTrackingRefBased/>
  <w15:docId w15:val="{D900E394-C618-4B5C-B2BC-1BA5400D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64F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359473">
      <w:bodyDiv w:val="1"/>
      <w:marLeft w:val="0"/>
      <w:marRight w:val="0"/>
      <w:marTop w:val="0"/>
      <w:marBottom w:val="0"/>
      <w:divBdr>
        <w:top w:val="none" w:sz="0" w:space="0" w:color="auto"/>
        <w:left w:val="none" w:sz="0" w:space="0" w:color="auto"/>
        <w:bottom w:val="none" w:sz="0" w:space="0" w:color="auto"/>
        <w:right w:val="none" w:sz="0" w:space="0" w:color="auto"/>
      </w:divBdr>
      <w:divsChild>
        <w:div w:id="829447377">
          <w:marLeft w:val="0"/>
          <w:marRight w:val="0"/>
          <w:marTop w:val="0"/>
          <w:marBottom w:val="0"/>
          <w:divBdr>
            <w:top w:val="none" w:sz="0" w:space="0" w:color="auto"/>
            <w:left w:val="none" w:sz="0" w:space="0" w:color="auto"/>
            <w:bottom w:val="none" w:sz="0" w:space="0" w:color="auto"/>
            <w:right w:val="none" w:sz="0" w:space="0" w:color="auto"/>
          </w:divBdr>
        </w:div>
        <w:div w:id="1551378194">
          <w:marLeft w:val="0"/>
          <w:marRight w:val="0"/>
          <w:marTop w:val="0"/>
          <w:marBottom w:val="0"/>
          <w:divBdr>
            <w:top w:val="none" w:sz="0" w:space="0" w:color="auto"/>
            <w:left w:val="none" w:sz="0" w:space="0" w:color="auto"/>
            <w:bottom w:val="none" w:sz="0" w:space="0" w:color="auto"/>
            <w:right w:val="none" w:sz="0" w:space="0" w:color="auto"/>
          </w:divBdr>
        </w:div>
        <w:div w:id="1819883367">
          <w:marLeft w:val="0"/>
          <w:marRight w:val="0"/>
          <w:marTop w:val="0"/>
          <w:marBottom w:val="0"/>
          <w:divBdr>
            <w:top w:val="none" w:sz="0" w:space="0" w:color="auto"/>
            <w:left w:val="none" w:sz="0" w:space="0" w:color="auto"/>
            <w:bottom w:val="none" w:sz="0" w:space="0" w:color="auto"/>
            <w:right w:val="none" w:sz="0" w:space="0" w:color="auto"/>
          </w:divBdr>
        </w:div>
        <w:div w:id="312567069">
          <w:marLeft w:val="0"/>
          <w:marRight w:val="0"/>
          <w:marTop w:val="0"/>
          <w:marBottom w:val="0"/>
          <w:divBdr>
            <w:top w:val="none" w:sz="0" w:space="0" w:color="auto"/>
            <w:left w:val="none" w:sz="0" w:space="0" w:color="auto"/>
            <w:bottom w:val="none" w:sz="0" w:space="0" w:color="auto"/>
            <w:right w:val="none" w:sz="0" w:space="0" w:color="auto"/>
          </w:divBdr>
        </w:div>
        <w:div w:id="815948838">
          <w:marLeft w:val="0"/>
          <w:marRight w:val="0"/>
          <w:marTop w:val="0"/>
          <w:marBottom w:val="120"/>
          <w:divBdr>
            <w:top w:val="none" w:sz="0" w:space="0" w:color="auto"/>
            <w:left w:val="none" w:sz="0" w:space="0" w:color="auto"/>
            <w:bottom w:val="none" w:sz="0" w:space="0" w:color="auto"/>
            <w:right w:val="none" w:sz="0" w:space="0" w:color="auto"/>
          </w:divBdr>
        </w:div>
        <w:div w:id="919560154">
          <w:marLeft w:val="0"/>
          <w:marRight w:val="0"/>
          <w:marTop w:val="120"/>
          <w:marBottom w:val="120"/>
          <w:divBdr>
            <w:top w:val="none" w:sz="0" w:space="0" w:color="auto"/>
            <w:left w:val="none" w:sz="0" w:space="0" w:color="auto"/>
            <w:bottom w:val="none" w:sz="0" w:space="0" w:color="auto"/>
            <w:right w:val="none" w:sz="0" w:space="0" w:color="auto"/>
          </w:divBdr>
        </w:div>
        <w:div w:id="1555384174">
          <w:marLeft w:val="0"/>
          <w:marRight w:val="0"/>
          <w:marTop w:val="120"/>
          <w:marBottom w:val="120"/>
          <w:divBdr>
            <w:top w:val="none" w:sz="0" w:space="0" w:color="auto"/>
            <w:left w:val="none" w:sz="0" w:space="0" w:color="auto"/>
            <w:bottom w:val="none" w:sz="0" w:space="0" w:color="auto"/>
            <w:right w:val="none" w:sz="0" w:space="0" w:color="auto"/>
          </w:divBdr>
        </w:div>
        <w:div w:id="1957323872">
          <w:marLeft w:val="0"/>
          <w:marRight w:val="0"/>
          <w:marTop w:val="0"/>
          <w:marBottom w:val="0"/>
          <w:divBdr>
            <w:top w:val="none" w:sz="0" w:space="0" w:color="auto"/>
            <w:left w:val="none" w:sz="0" w:space="0" w:color="auto"/>
            <w:bottom w:val="none" w:sz="0" w:space="0" w:color="auto"/>
            <w:right w:val="none" w:sz="0" w:space="0" w:color="auto"/>
          </w:divBdr>
        </w:div>
        <w:div w:id="2111780017">
          <w:marLeft w:val="0"/>
          <w:marRight w:val="0"/>
          <w:marTop w:val="0"/>
          <w:marBottom w:val="120"/>
          <w:divBdr>
            <w:top w:val="none" w:sz="0" w:space="0" w:color="auto"/>
            <w:left w:val="none" w:sz="0" w:space="0" w:color="auto"/>
            <w:bottom w:val="none" w:sz="0" w:space="0" w:color="auto"/>
            <w:right w:val="none" w:sz="0" w:space="0" w:color="auto"/>
          </w:divBdr>
        </w:div>
        <w:div w:id="1996495317">
          <w:marLeft w:val="0"/>
          <w:marRight w:val="0"/>
          <w:marTop w:val="120"/>
          <w:marBottom w:val="120"/>
          <w:divBdr>
            <w:top w:val="none" w:sz="0" w:space="0" w:color="auto"/>
            <w:left w:val="none" w:sz="0" w:space="0" w:color="auto"/>
            <w:bottom w:val="none" w:sz="0" w:space="0" w:color="auto"/>
            <w:right w:val="none" w:sz="0" w:space="0" w:color="auto"/>
          </w:divBdr>
        </w:div>
        <w:div w:id="54859450">
          <w:marLeft w:val="0"/>
          <w:marRight w:val="0"/>
          <w:marTop w:val="12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417</Words>
  <Characters>2382</Characters>
  <Application>Microsoft Office Word</Application>
  <DocSecurity>0</DocSecurity>
  <Lines>19</Lines>
  <Paragraphs>5</Paragraphs>
  <ScaleCrop>false</ScaleCrop>
  <Company>Microsoft</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cp:revision>
  <dcterms:created xsi:type="dcterms:W3CDTF">2017-11-30T02:39:00Z</dcterms:created>
  <dcterms:modified xsi:type="dcterms:W3CDTF">2017-11-30T02:40:00Z</dcterms:modified>
</cp:coreProperties>
</file>